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СОБРАНИЕ ДЕПУТАТОВ</w:t>
      </w:r>
    </w:p>
    <w:p w:rsidR="006D388E" w:rsidRDefault="00C06387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БОРКОВСКОГО</w:t>
      </w:r>
      <w:r w:rsidR="006D388E">
        <w:rPr>
          <w:rFonts w:ascii="Arial" w:hAnsi="Arial" w:cs="Arial"/>
          <w:b/>
          <w:sz w:val="32"/>
          <w:szCs w:val="32"/>
          <w:lang w:val="ru-RU"/>
        </w:rPr>
        <w:t xml:space="preserve"> СЕЛЬСОВЕТА</w:t>
      </w:r>
    </w:p>
    <w:p w:rsidR="006D388E" w:rsidRDefault="006D388E" w:rsidP="006D388E">
      <w:pPr>
        <w:pStyle w:val="a7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СУДЖАНСКОГО РАЙОНА</w:t>
      </w:r>
    </w:p>
    <w:p w:rsidR="006D388E" w:rsidRDefault="006D388E" w:rsidP="006D388E">
      <w:pPr>
        <w:pStyle w:val="a7"/>
        <w:tabs>
          <w:tab w:val="left" w:pos="8370"/>
        </w:tabs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6D388E" w:rsidRDefault="006D388E" w:rsidP="006D388E">
      <w:pPr>
        <w:tabs>
          <w:tab w:val="left" w:pos="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E4E72">
        <w:rPr>
          <w:rFonts w:ascii="Arial" w:hAnsi="Arial" w:cs="Arial"/>
          <w:b/>
          <w:sz w:val="32"/>
          <w:szCs w:val="32"/>
        </w:rPr>
        <w:t xml:space="preserve">от </w:t>
      </w:r>
      <w:r w:rsidR="00AD76C3">
        <w:rPr>
          <w:rFonts w:ascii="Arial" w:hAnsi="Arial" w:cs="Arial"/>
          <w:b/>
          <w:sz w:val="32"/>
          <w:szCs w:val="32"/>
        </w:rPr>
        <w:t xml:space="preserve"> 20 декабря 2024 года</w:t>
      </w:r>
      <w:r w:rsidRPr="00BE4E72">
        <w:rPr>
          <w:rFonts w:ascii="Arial" w:hAnsi="Arial" w:cs="Arial"/>
          <w:b/>
          <w:sz w:val="32"/>
          <w:szCs w:val="32"/>
        </w:rPr>
        <w:t xml:space="preserve"> №</w:t>
      </w:r>
      <w:bookmarkStart w:id="0" w:name="_GoBack"/>
      <w:bookmarkEnd w:id="0"/>
      <w:r w:rsidR="00AD76C3">
        <w:rPr>
          <w:rFonts w:ascii="Arial" w:hAnsi="Arial" w:cs="Arial"/>
          <w:b/>
          <w:sz w:val="32"/>
          <w:szCs w:val="32"/>
        </w:rPr>
        <w:t xml:space="preserve"> 5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«О бюджете муниципального образования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</w:t>
      </w:r>
      <w:r w:rsidR="00C06387">
        <w:rPr>
          <w:rFonts w:ascii="Arial" w:hAnsi="Arial" w:cs="Arial"/>
          <w:b/>
          <w:sz w:val="32"/>
          <w:szCs w:val="32"/>
        </w:rPr>
        <w:t>Борковский</w:t>
      </w:r>
      <w:r>
        <w:rPr>
          <w:rFonts w:ascii="Arial" w:hAnsi="Arial" w:cs="Arial"/>
          <w:b/>
          <w:sz w:val="32"/>
          <w:szCs w:val="32"/>
        </w:rPr>
        <w:t xml:space="preserve"> сельсовет» Суджанского района</w:t>
      </w:r>
    </w:p>
    <w:p w:rsidR="006D388E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Курской области на 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444044">
        <w:rPr>
          <w:rFonts w:ascii="Arial" w:hAnsi="Arial" w:cs="Arial"/>
          <w:b/>
          <w:sz w:val="32"/>
          <w:szCs w:val="32"/>
        </w:rPr>
        <w:t>5</w:t>
      </w:r>
      <w:r>
        <w:rPr>
          <w:rFonts w:ascii="Arial" w:hAnsi="Arial" w:cs="Arial"/>
          <w:b/>
          <w:sz w:val="32"/>
          <w:szCs w:val="32"/>
        </w:rPr>
        <w:t xml:space="preserve"> год и на плановый период </w:t>
      </w:r>
    </w:p>
    <w:p w:rsidR="002F0F11" w:rsidRDefault="006D388E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444044">
        <w:rPr>
          <w:rFonts w:ascii="Arial" w:hAnsi="Arial" w:cs="Arial"/>
          <w:b/>
          <w:sz w:val="32"/>
          <w:szCs w:val="32"/>
        </w:rPr>
        <w:t>6</w:t>
      </w:r>
      <w:r>
        <w:rPr>
          <w:rFonts w:ascii="Arial" w:hAnsi="Arial" w:cs="Arial"/>
          <w:b/>
          <w:sz w:val="32"/>
          <w:szCs w:val="32"/>
        </w:rPr>
        <w:t xml:space="preserve"> и 20</w:t>
      </w:r>
      <w:r w:rsidR="00C32887">
        <w:rPr>
          <w:rFonts w:ascii="Arial" w:hAnsi="Arial" w:cs="Arial"/>
          <w:b/>
          <w:sz w:val="32"/>
          <w:szCs w:val="32"/>
        </w:rPr>
        <w:t>2</w:t>
      </w:r>
      <w:r w:rsidR="00444044">
        <w:rPr>
          <w:rFonts w:ascii="Arial" w:hAnsi="Arial" w:cs="Arial"/>
          <w:b/>
          <w:sz w:val="32"/>
          <w:szCs w:val="32"/>
        </w:rPr>
        <w:t>7</w:t>
      </w:r>
      <w:r>
        <w:rPr>
          <w:rFonts w:ascii="Arial" w:hAnsi="Arial" w:cs="Arial"/>
          <w:b/>
          <w:sz w:val="32"/>
          <w:szCs w:val="32"/>
        </w:rPr>
        <w:t xml:space="preserve"> годов»</w:t>
      </w:r>
      <w:r w:rsidR="002F0F11">
        <w:rPr>
          <w:rFonts w:ascii="Arial" w:hAnsi="Arial" w:cs="Arial"/>
          <w:b/>
          <w:sz w:val="32"/>
          <w:szCs w:val="32"/>
        </w:rPr>
        <w:t xml:space="preserve"> </w:t>
      </w:r>
    </w:p>
    <w:p w:rsidR="006D388E" w:rsidRDefault="002F0F11" w:rsidP="006D388E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( в редакции решения от 06.02.2025г. №1)</w:t>
      </w:r>
    </w:p>
    <w:p w:rsidR="006D388E" w:rsidRDefault="006D388E" w:rsidP="006D388E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 xml:space="preserve">Статья 1. Основные характеристики местного бюджета </w:t>
      </w:r>
    </w:p>
    <w:p w:rsidR="002F0F11" w:rsidRPr="002F0F11" w:rsidRDefault="006D388E" w:rsidP="002F0F11">
      <w:pPr>
        <w:pStyle w:val="a3"/>
        <w:shd w:val="clear" w:color="auto" w:fill="FFFFFF"/>
        <w:spacing w:before="75" w:beforeAutospacing="0" w:after="175"/>
        <w:jc w:val="both"/>
        <w:rPr>
          <w:rFonts w:ascii="Montserrat" w:hAnsi="Montserrat"/>
          <w:color w:val="273350"/>
          <w:sz w:val="20"/>
          <w:szCs w:val="20"/>
        </w:rPr>
      </w:pPr>
      <w:r w:rsidRPr="00AD107B">
        <w:rPr>
          <w:rFonts w:ascii="Arial" w:hAnsi="Arial" w:cs="Arial"/>
        </w:rPr>
        <w:t xml:space="preserve">1. </w:t>
      </w:r>
      <w:r w:rsidR="002F0F11" w:rsidRPr="002F0F11">
        <w:rPr>
          <w:rFonts w:ascii="Arial" w:hAnsi="Arial" w:cs="Arial"/>
          <w:color w:val="273350"/>
        </w:rPr>
        <w:t>1. Утвердить основные характеристики местного бюджета на 2025 год:</w:t>
      </w:r>
    </w:p>
    <w:p w:rsidR="002F0F11" w:rsidRPr="002F0F11" w:rsidRDefault="002F0F11" w:rsidP="002F0F11">
      <w:pPr>
        <w:shd w:val="clear" w:color="auto" w:fill="FFFFFF"/>
        <w:spacing w:before="75" w:after="175" w:line="240" w:lineRule="auto"/>
        <w:jc w:val="both"/>
        <w:rPr>
          <w:rFonts w:ascii="Montserrat" w:hAnsi="Montserrat"/>
          <w:color w:val="273350"/>
          <w:sz w:val="20"/>
          <w:szCs w:val="20"/>
        </w:rPr>
      </w:pPr>
      <w:r w:rsidRPr="002F0F11">
        <w:rPr>
          <w:rFonts w:ascii="Arial" w:hAnsi="Arial" w:cs="Arial"/>
          <w:color w:val="273350"/>
          <w:sz w:val="24"/>
          <w:szCs w:val="24"/>
        </w:rPr>
        <w:t>Прогнозируемый  общий  объем   доходов  местного  бюджета  в  сумме      </w:t>
      </w:r>
      <w:r w:rsidRPr="002F0F11">
        <w:rPr>
          <w:rFonts w:ascii="Arial" w:hAnsi="Arial" w:cs="Arial"/>
          <w:color w:val="273350"/>
        </w:rPr>
        <w:t>1 029189,00</w:t>
      </w:r>
      <w:r w:rsidRPr="002F0F11">
        <w:rPr>
          <w:rFonts w:ascii="Arial" w:hAnsi="Arial" w:cs="Arial"/>
          <w:color w:val="273350"/>
          <w:sz w:val="24"/>
          <w:szCs w:val="24"/>
        </w:rPr>
        <w:t>рублей;</w:t>
      </w:r>
    </w:p>
    <w:p w:rsidR="002F0F11" w:rsidRPr="002F0F11" w:rsidRDefault="002F0F11" w:rsidP="002F0F11">
      <w:pPr>
        <w:shd w:val="clear" w:color="auto" w:fill="FFFFFF"/>
        <w:spacing w:before="75" w:after="175" w:line="240" w:lineRule="auto"/>
        <w:jc w:val="both"/>
        <w:rPr>
          <w:rFonts w:ascii="Montserrat" w:hAnsi="Montserrat"/>
          <w:color w:val="273350"/>
          <w:sz w:val="20"/>
          <w:szCs w:val="20"/>
        </w:rPr>
      </w:pPr>
      <w:r w:rsidRPr="002F0F11">
        <w:rPr>
          <w:rFonts w:ascii="Arial" w:hAnsi="Arial" w:cs="Arial"/>
          <w:color w:val="273350"/>
          <w:sz w:val="24"/>
          <w:szCs w:val="24"/>
        </w:rPr>
        <w:t>общий объем расходов местного бюджета в сумме 1118705,71 рублей;</w:t>
      </w:r>
    </w:p>
    <w:p w:rsidR="002F0F11" w:rsidRPr="002F0F11" w:rsidRDefault="002F0F11" w:rsidP="002F0F11">
      <w:pPr>
        <w:shd w:val="clear" w:color="auto" w:fill="FFFFFF"/>
        <w:spacing w:before="75" w:after="175" w:line="240" w:lineRule="auto"/>
        <w:jc w:val="both"/>
        <w:rPr>
          <w:rFonts w:ascii="Montserrat" w:hAnsi="Montserrat"/>
          <w:color w:val="273350"/>
          <w:sz w:val="20"/>
          <w:szCs w:val="20"/>
        </w:rPr>
      </w:pPr>
      <w:r w:rsidRPr="002F0F11">
        <w:rPr>
          <w:rFonts w:ascii="Arial" w:hAnsi="Arial" w:cs="Arial"/>
          <w:color w:val="273350"/>
          <w:sz w:val="24"/>
          <w:szCs w:val="24"/>
        </w:rPr>
        <w:t>дефицит местного бюджета в сумме 89516,71 рублей</w:t>
      </w:r>
    </w:p>
    <w:p w:rsidR="006D388E" w:rsidRPr="00AD107B" w:rsidRDefault="006D388E" w:rsidP="002F0F11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2. Утвердить основные характеристики местного бюджета на 20</w:t>
      </w:r>
      <w:r w:rsidR="00BE2979" w:rsidRPr="00AD107B">
        <w:rPr>
          <w:rFonts w:ascii="Arial" w:hAnsi="Arial" w:cs="Arial"/>
        </w:rPr>
        <w:t>2</w:t>
      </w:r>
      <w:r w:rsidR="00870CE8" w:rsidRPr="00AD107B">
        <w:rPr>
          <w:rFonts w:ascii="Arial" w:hAnsi="Arial" w:cs="Arial"/>
        </w:rPr>
        <w:t>6</w:t>
      </w:r>
      <w:r w:rsidRPr="00AD107B">
        <w:rPr>
          <w:rFonts w:ascii="Arial" w:hAnsi="Arial" w:cs="Arial"/>
        </w:rPr>
        <w:t xml:space="preserve"> и 20</w:t>
      </w:r>
      <w:r w:rsidR="00BE2979" w:rsidRPr="00AD107B">
        <w:rPr>
          <w:rFonts w:ascii="Arial" w:hAnsi="Arial" w:cs="Arial"/>
        </w:rPr>
        <w:t>2</w:t>
      </w:r>
      <w:r w:rsidR="00870CE8" w:rsidRPr="00AD107B">
        <w:rPr>
          <w:rFonts w:ascii="Arial" w:hAnsi="Arial" w:cs="Arial"/>
        </w:rPr>
        <w:t>7</w:t>
      </w:r>
      <w:r w:rsidRPr="00AD107B">
        <w:rPr>
          <w:rFonts w:ascii="Arial" w:hAnsi="Arial" w:cs="Arial"/>
        </w:rPr>
        <w:t>годы:</w:t>
      </w:r>
    </w:p>
    <w:p w:rsidR="006D388E" w:rsidRPr="00AD107B" w:rsidRDefault="006D388E" w:rsidP="00287F8B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 xml:space="preserve">прогнозируемый общий объем доходов местного бюджета на </w:t>
      </w:r>
      <w:r w:rsidR="00BE2979" w:rsidRPr="00AD107B">
        <w:rPr>
          <w:rFonts w:ascii="Arial" w:hAnsi="Arial" w:cs="Arial"/>
        </w:rPr>
        <w:t>202</w:t>
      </w:r>
      <w:r w:rsidR="00870CE8" w:rsidRPr="00AD107B">
        <w:rPr>
          <w:rFonts w:ascii="Arial" w:hAnsi="Arial" w:cs="Arial"/>
        </w:rPr>
        <w:t>6</w:t>
      </w:r>
      <w:r w:rsidRPr="00AD107B">
        <w:rPr>
          <w:rFonts w:ascii="Arial" w:hAnsi="Arial" w:cs="Arial"/>
        </w:rPr>
        <w:t xml:space="preserve"> год в сумме </w:t>
      </w:r>
      <w:r w:rsidR="00C06387" w:rsidRPr="00AD107B">
        <w:rPr>
          <w:rFonts w:ascii="Arial" w:hAnsi="Arial" w:cs="Arial"/>
        </w:rPr>
        <w:t>5</w:t>
      </w:r>
      <w:r w:rsidR="00C72848" w:rsidRPr="00AD107B">
        <w:rPr>
          <w:rFonts w:ascii="Arial" w:hAnsi="Arial" w:cs="Arial"/>
        </w:rPr>
        <w:t>4</w:t>
      </w:r>
      <w:r w:rsidR="003F50CC">
        <w:rPr>
          <w:rFonts w:ascii="Arial" w:hAnsi="Arial" w:cs="Arial"/>
        </w:rPr>
        <w:t>71</w:t>
      </w:r>
      <w:r w:rsidR="00C06387" w:rsidRPr="00AD107B">
        <w:rPr>
          <w:rFonts w:ascii="Arial" w:hAnsi="Arial" w:cs="Arial"/>
        </w:rPr>
        <w:t>8</w:t>
      </w:r>
      <w:r w:rsidR="003F50CC">
        <w:rPr>
          <w:rFonts w:ascii="Arial" w:hAnsi="Arial" w:cs="Arial"/>
        </w:rPr>
        <w:t>6</w:t>
      </w:r>
      <w:r w:rsidRPr="00AD107B">
        <w:rPr>
          <w:rFonts w:ascii="Arial" w:hAnsi="Arial" w:cs="Arial"/>
        </w:rPr>
        <w:t>,00 рублей; на 20</w:t>
      </w:r>
      <w:r w:rsidR="00BE2979" w:rsidRPr="00AD107B">
        <w:rPr>
          <w:rFonts w:ascii="Arial" w:hAnsi="Arial" w:cs="Arial"/>
        </w:rPr>
        <w:t>2</w:t>
      </w:r>
      <w:r w:rsidR="00870CE8" w:rsidRPr="00AD107B">
        <w:rPr>
          <w:rFonts w:ascii="Arial" w:hAnsi="Arial" w:cs="Arial"/>
        </w:rPr>
        <w:t>7</w:t>
      </w:r>
      <w:r w:rsidRPr="00AD107B">
        <w:rPr>
          <w:rFonts w:ascii="Arial" w:hAnsi="Arial" w:cs="Arial"/>
        </w:rPr>
        <w:t xml:space="preserve"> год в сумме </w:t>
      </w:r>
      <w:r w:rsidR="00C06387" w:rsidRPr="00AD107B">
        <w:rPr>
          <w:rFonts w:ascii="Arial" w:hAnsi="Arial" w:cs="Arial"/>
        </w:rPr>
        <w:t>5</w:t>
      </w:r>
      <w:r w:rsidR="003F50CC">
        <w:rPr>
          <w:rFonts w:ascii="Arial" w:hAnsi="Arial" w:cs="Arial"/>
        </w:rPr>
        <w:t>45510</w:t>
      </w:r>
      <w:r w:rsidRPr="00AD107B">
        <w:rPr>
          <w:rFonts w:ascii="Arial" w:hAnsi="Arial" w:cs="Arial"/>
        </w:rPr>
        <w:t>,00 рублей;</w:t>
      </w:r>
    </w:p>
    <w:p w:rsidR="006D388E" w:rsidRPr="00AD107B" w:rsidRDefault="006D388E" w:rsidP="006D388E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общий объем расходов местного бюджета на 20</w:t>
      </w:r>
      <w:r w:rsidR="00F86DE7">
        <w:rPr>
          <w:rFonts w:ascii="Arial" w:hAnsi="Arial" w:cs="Arial"/>
        </w:rPr>
        <w:t>26</w:t>
      </w:r>
      <w:r w:rsidRPr="00AD107B">
        <w:rPr>
          <w:rFonts w:ascii="Arial" w:hAnsi="Arial" w:cs="Arial"/>
        </w:rPr>
        <w:t xml:space="preserve"> год в сумме </w:t>
      </w:r>
      <w:r w:rsidR="00D722A0" w:rsidRPr="00AD107B">
        <w:rPr>
          <w:rFonts w:ascii="Arial" w:hAnsi="Arial" w:cs="Arial"/>
        </w:rPr>
        <w:t>54</w:t>
      </w:r>
      <w:r w:rsidR="003F50CC">
        <w:rPr>
          <w:rFonts w:ascii="Arial" w:hAnsi="Arial" w:cs="Arial"/>
        </w:rPr>
        <w:t>7 186</w:t>
      </w:r>
      <w:r w:rsidRPr="00AD107B">
        <w:rPr>
          <w:rFonts w:ascii="Arial" w:hAnsi="Arial" w:cs="Arial"/>
        </w:rPr>
        <w:t xml:space="preserve">,00 рублей; в том числе условно утвержденные расходы в сумме </w:t>
      </w:r>
      <w:r w:rsidR="00D722A0" w:rsidRPr="00AD107B">
        <w:rPr>
          <w:rFonts w:ascii="Arial" w:hAnsi="Arial" w:cs="Arial"/>
        </w:rPr>
        <w:t>9 300</w:t>
      </w:r>
      <w:r w:rsidRPr="00AD107B">
        <w:rPr>
          <w:rFonts w:ascii="Arial" w:hAnsi="Arial" w:cs="Arial"/>
        </w:rPr>
        <w:t>,00 рублей, на 20</w:t>
      </w:r>
      <w:r w:rsidR="00F86DE7">
        <w:rPr>
          <w:rFonts w:ascii="Arial" w:hAnsi="Arial" w:cs="Arial"/>
        </w:rPr>
        <w:t>27</w:t>
      </w:r>
      <w:r w:rsidRPr="00AD107B">
        <w:rPr>
          <w:rFonts w:ascii="Arial" w:hAnsi="Arial" w:cs="Arial"/>
        </w:rPr>
        <w:t xml:space="preserve"> год в сумме </w:t>
      </w:r>
      <w:r w:rsidR="00D722A0" w:rsidRPr="00AD107B">
        <w:rPr>
          <w:rFonts w:ascii="Arial" w:hAnsi="Arial" w:cs="Arial"/>
        </w:rPr>
        <w:t>5</w:t>
      </w:r>
      <w:r w:rsidR="003F50CC">
        <w:rPr>
          <w:rFonts w:ascii="Arial" w:hAnsi="Arial" w:cs="Arial"/>
        </w:rPr>
        <w:t>45 510</w:t>
      </w:r>
      <w:r w:rsidRPr="00AD107B">
        <w:rPr>
          <w:rFonts w:ascii="Arial" w:hAnsi="Arial" w:cs="Arial"/>
        </w:rPr>
        <w:t>,00рублей</w:t>
      </w:r>
      <w:r w:rsidR="001D6604" w:rsidRPr="00AD107B">
        <w:rPr>
          <w:rFonts w:ascii="Arial" w:hAnsi="Arial" w:cs="Arial"/>
        </w:rPr>
        <w:t>,</w:t>
      </w:r>
      <w:r w:rsidRPr="00AD107B">
        <w:rPr>
          <w:rFonts w:ascii="Arial" w:hAnsi="Arial" w:cs="Arial"/>
        </w:rPr>
        <w:t xml:space="preserve"> в том числе условно утвержденные расходы в сумме </w:t>
      </w:r>
      <w:r w:rsidR="00D722A0" w:rsidRPr="00AD107B">
        <w:rPr>
          <w:rFonts w:ascii="Arial" w:hAnsi="Arial" w:cs="Arial"/>
        </w:rPr>
        <w:t>18 100</w:t>
      </w:r>
      <w:r w:rsidR="00BE2979" w:rsidRPr="00AD107B">
        <w:rPr>
          <w:rFonts w:ascii="Arial" w:hAnsi="Arial" w:cs="Arial"/>
        </w:rPr>
        <w:t>,00</w:t>
      </w:r>
      <w:r w:rsidRPr="00AD107B">
        <w:rPr>
          <w:rFonts w:ascii="Arial" w:hAnsi="Arial" w:cs="Arial"/>
        </w:rPr>
        <w:t xml:space="preserve"> рублей;</w:t>
      </w:r>
    </w:p>
    <w:p w:rsidR="006D388E" w:rsidRPr="00AD107B" w:rsidRDefault="00D722A0" w:rsidP="006D388E">
      <w:pPr>
        <w:spacing w:line="240" w:lineRule="auto"/>
        <w:ind w:firstLine="720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 xml:space="preserve">дефицит(профицит) </w:t>
      </w:r>
      <w:r w:rsidR="006D388E" w:rsidRPr="00AD107B">
        <w:rPr>
          <w:rFonts w:ascii="Arial" w:hAnsi="Arial" w:cs="Arial"/>
        </w:rPr>
        <w:t xml:space="preserve"> местного бюджета на 20</w:t>
      </w:r>
      <w:r w:rsidR="00BE2979" w:rsidRPr="00AD107B">
        <w:rPr>
          <w:rFonts w:ascii="Arial" w:hAnsi="Arial" w:cs="Arial"/>
        </w:rPr>
        <w:t>2</w:t>
      </w:r>
      <w:r w:rsidRPr="00AD107B">
        <w:rPr>
          <w:rFonts w:ascii="Arial" w:hAnsi="Arial" w:cs="Arial"/>
        </w:rPr>
        <w:t>6</w:t>
      </w:r>
      <w:r w:rsidR="006D388E" w:rsidRPr="00AD107B">
        <w:rPr>
          <w:rFonts w:ascii="Arial" w:hAnsi="Arial" w:cs="Arial"/>
        </w:rPr>
        <w:t xml:space="preserve"> год в сумме </w:t>
      </w:r>
      <w:r w:rsidR="00BE2979" w:rsidRPr="00AD107B">
        <w:rPr>
          <w:rFonts w:ascii="Arial" w:hAnsi="Arial" w:cs="Arial"/>
        </w:rPr>
        <w:t>0</w:t>
      </w:r>
      <w:r w:rsidR="006D388E" w:rsidRPr="00AD107B">
        <w:rPr>
          <w:rFonts w:ascii="Arial" w:hAnsi="Arial" w:cs="Arial"/>
        </w:rPr>
        <w:t>,00 рублей;</w:t>
      </w:r>
    </w:p>
    <w:p w:rsidR="006D388E" w:rsidRPr="00AD107B" w:rsidRDefault="006D388E" w:rsidP="006D388E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</w:rPr>
        <w:t>дефицит</w:t>
      </w:r>
      <w:r w:rsidRPr="00AD107B">
        <w:rPr>
          <w:rFonts w:ascii="Arial" w:hAnsi="Arial" w:cs="Arial"/>
          <w:sz w:val="24"/>
          <w:szCs w:val="24"/>
        </w:rPr>
        <w:t>(профицит) местного бюджета 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D722A0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 в сумме 0,0 рублей.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2. Источники финансирования дефицита местного бюджета</w:t>
      </w:r>
    </w:p>
    <w:p w:rsidR="006D388E" w:rsidRPr="00AD107B" w:rsidRDefault="006D388E" w:rsidP="00BE2979">
      <w:pPr>
        <w:spacing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Утвердить источники финансирования дефицита местного бюджетана 202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</w:t>
      </w:r>
      <w:r w:rsidR="00BE2979" w:rsidRPr="00AD107B">
        <w:rPr>
          <w:rFonts w:ascii="Arial" w:hAnsi="Arial" w:cs="Arial"/>
          <w:sz w:val="24"/>
          <w:szCs w:val="24"/>
        </w:rPr>
        <w:t xml:space="preserve">и </w:t>
      </w:r>
      <w:r w:rsidRPr="00AD107B">
        <w:rPr>
          <w:rFonts w:ascii="Arial" w:hAnsi="Arial" w:cs="Arial"/>
          <w:sz w:val="24"/>
          <w:szCs w:val="24"/>
        </w:rPr>
        <w:t>на плановый период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годов согласно приложению № </w:t>
      </w:r>
      <w:r w:rsidR="00BE2979" w:rsidRPr="00AD107B">
        <w:rPr>
          <w:rFonts w:ascii="Arial" w:hAnsi="Arial" w:cs="Arial"/>
          <w:sz w:val="24"/>
          <w:szCs w:val="24"/>
        </w:rPr>
        <w:t>1</w:t>
      </w:r>
      <w:r w:rsidRPr="00AD107B">
        <w:rPr>
          <w:rFonts w:ascii="Arial" w:hAnsi="Arial" w:cs="Arial"/>
          <w:sz w:val="24"/>
          <w:szCs w:val="24"/>
        </w:rPr>
        <w:t xml:space="preserve"> к настоящему </w:t>
      </w:r>
      <w:r w:rsidR="00D94E3D" w:rsidRPr="00AD107B">
        <w:rPr>
          <w:rFonts w:ascii="Arial" w:hAnsi="Arial" w:cs="Arial"/>
          <w:sz w:val="24"/>
          <w:szCs w:val="24"/>
        </w:rPr>
        <w:t>Р</w:t>
      </w:r>
      <w:r w:rsidRPr="00AD107B">
        <w:rPr>
          <w:rFonts w:ascii="Arial" w:hAnsi="Arial" w:cs="Arial"/>
          <w:sz w:val="24"/>
          <w:szCs w:val="24"/>
        </w:rPr>
        <w:t>ешению.</w:t>
      </w:r>
    </w:p>
    <w:p w:rsidR="006D388E" w:rsidRPr="00AD107B" w:rsidRDefault="006D388E" w:rsidP="00BE2979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3.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Особенности администрирования доходов местного бюджета в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5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году и в плановом периоде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6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7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годов</w:t>
      </w:r>
    </w:p>
    <w:p w:rsidR="006D388E" w:rsidRPr="00AD107B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1.Установить, что средства, поступающие получателям бюджетных средств в погашение дебиторской задолженности прошлых лет, в полном объеме зачисляются в доход местного бюджета.</w:t>
      </w:r>
    </w:p>
    <w:p w:rsidR="006D388E" w:rsidRPr="00AD107B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2.Установить, что поступающие добровольные взносы и пожертвования (безвозмездные поступления) в полном объёме зачисляются в доход местного бюджета и направляются на финансирование в соответствии с целями их предоставления.</w:t>
      </w:r>
    </w:p>
    <w:p w:rsidR="006D388E" w:rsidRPr="00AD107B" w:rsidRDefault="006D388E" w:rsidP="006D388E">
      <w:pPr>
        <w:pStyle w:val="a4"/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6D388E" w:rsidRPr="00AD107B" w:rsidRDefault="006D388E" w:rsidP="007F2310">
      <w:pPr>
        <w:pStyle w:val="a4"/>
        <w:widowControl w:val="0"/>
        <w:spacing w:after="240"/>
        <w:jc w:val="both"/>
        <w:rPr>
          <w:rFonts w:ascii="Arial" w:hAnsi="Arial" w:cs="Arial"/>
          <w:b/>
          <w:bCs/>
          <w:sz w:val="24"/>
          <w:szCs w:val="24"/>
        </w:rPr>
      </w:pPr>
      <w:r w:rsidRPr="00AD107B">
        <w:rPr>
          <w:rFonts w:ascii="Arial" w:hAnsi="Arial" w:cs="Arial"/>
          <w:b/>
          <w:bCs/>
          <w:sz w:val="24"/>
          <w:szCs w:val="24"/>
        </w:rPr>
        <w:t>Статья 4. Прогнозируемое поступление доходов местного бюджета в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5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году и в плановом периоде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6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b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/>
          <w:bCs/>
          <w:sz w:val="24"/>
          <w:szCs w:val="24"/>
        </w:rPr>
        <w:t>7</w:t>
      </w:r>
      <w:r w:rsidRPr="00AD107B">
        <w:rPr>
          <w:rFonts w:ascii="Arial" w:hAnsi="Arial" w:cs="Arial"/>
          <w:b/>
          <w:bCs/>
          <w:sz w:val="24"/>
          <w:szCs w:val="24"/>
        </w:rPr>
        <w:t xml:space="preserve"> годов </w:t>
      </w:r>
    </w:p>
    <w:p w:rsidR="006D388E" w:rsidRPr="00AD107B" w:rsidRDefault="006D388E" w:rsidP="007F2310">
      <w:pPr>
        <w:pStyle w:val="a4"/>
        <w:widowControl w:val="0"/>
        <w:spacing w:after="24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lastRenderedPageBreak/>
        <w:t>Утвердить прогнозируемое поступление доходов в местный бюджет:</w:t>
      </w:r>
    </w:p>
    <w:p w:rsidR="006D388E" w:rsidRPr="00AD107B" w:rsidRDefault="006D388E" w:rsidP="007F2310">
      <w:pPr>
        <w:pStyle w:val="a4"/>
        <w:widowControl w:val="0"/>
        <w:spacing w:after="24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t>в 20</w:t>
      </w:r>
      <w:r w:rsidR="00BE2979" w:rsidRPr="00AD107B">
        <w:rPr>
          <w:rFonts w:ascii="Arial" w:hAnsi="Arial" w:cs="Arial"/>
          <w:bCs/>
          <w:sz w:val="24"/>
          <w:szCs w:val="24"/>
        </w:rPr>
        <w:t>2</w:t>
      </w:r>
      <w:r w:rsidR="00870CE8" w:rsidRPr="00AD107B">
        <w:rPr>
          <w:rFonts w:ascii="Arial" w:hAnsi="Arial" w:cs="Arial"/>
          <w:bCs/>
          <w:sz w:val="24"/>
          <w:szCs w:val="24"/>
        </w:rPr>
        <w:t>5</w:t>
      </w:r>
      <w:r w:rsidRPr="00AD107B">
        <w:rPr>
          <w:rFonts w:ascii="Arial" w:hAnsi="Arial" w:cs="Arial"/>
          <w:bCs/>
          <w:sz w:val="24"/>
          <w:szCs w:val="24"/>
        </w:rPr>
        <w:t xml:space="preserve">году </w:t>
      </w:r>
      <w:r w:rsidR="00BE2979" w:rsidRPr="00AD107B">
        <w:rPr>
          <w:rFonts w:ascii="Arial" w:hAnsi="Arial" w:cs="Arial"/>
          <w:bCs/>
          <w:sz w:val="24"/>
          <w:szCs w:val="24"/>
        </w:rPr>
        <w:t xml:space="preserve">и </w:t>
      </w:r>
      <w:r w:rsidRPr="00AD107B">
        <w:rPr>
          <w:rFonts w:ascii="Arial" w:hAnsi="Arial" w:cs="Arial"/>
          <w:sz w:val="24"/>
          <w:szCs w:val="24"/>
        </w:rPr>
        <w:t>на плановый период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годов</w:t>
      </w:r>
      <w:r w:rsidRPr="00AD107B">
        <w:rPr>
          <w:rFonts w:ascii="Arial" w:hAnsi="Arial" w:cs="Arial"/>
          <w:bCs/>
          <w:sz w:val="24"/>
          <w:szCs w:val="24"/>
        </w:rPr>
        <w:t xml:space="preserve"> согласно приложению № </w:t>
      </w:r>
      <w:r w:rsidR="00BE2979" w:rsidRPr="00AD107B">
        <w:rPr>
          <w:rFonts w:ascii="Arial" w:hAnsi="Arial" w:cs="Arial"/>
          <w:bCs/>
          <w:sz w:val="24"/>
          <w:szCs w:val="24"/>
        </w:rPr>
        <w:t>2</w:t>
      </w:r>
      <w:r w:rsidRPr="00AD107B">
        <w:rPr>
          <w:rFonts w:ascii="Arial" w:hAnsi="Arial" w:cs="Arial"/>
          <w:bCs/>
          <w:sz w:val="24"/>
          <w:szCs w:val="24"/>
        </w:rPr>
        <w:t xml:space="preserve"> к настоящему Решению</w:t>
      </w:r>
    </w:p>
    <w:p w:rsidR="006D388E" w:rsidRPr="00AD107B" w:rsidRDefault="006D388E" w:rsidP="006D388E">
      <w:pPr>
        <w:pStyle w:val="ConsPlusNormal"/>
        <w:ind w:firstLine="0"/>
        <w:outlineLvl w:val="0"/>
        <w:rPr>
          <w:b/>
          <w:bCs/>
          <w:sz w:val="24"/>
          <w:szCs w:val="24"/>
        </w:rPr>
      </w:pPr>
      <w:r w:rsidRPr="00AD107B">
        <w:rPr>
          <w:b/>
          <w:bCs/>
          <w:sz w:val="24"/>
          <w:szCs w:val="24"/>
        </w:rPr>
        <w:t>Статья 5. Бюджетные ассигнования местного бюджета на 20</w:t>
      </w:r>
      <w:r w:rsidR="00BE2979" w:rsidRPr="00AD107B">
        <w:rPr>
          <w:b/>
          <w:bCs/>
          <w:sz w:val="24"/>
          <w:szCs w:val="24"/>
        </w:rPr>
        <w:t>2</w:t>
      </w:r>
      <w:r w:rsidR="00870CE8" w:rsidRPr="00AD107B">
        <w:rPr>
          <w:b/>
          <w:bCs/>
          <w:sz w:val="24"/>
          <w:szCs w:val="24"/>
        </w:rPr>
        <w:t>5</w:t>
      </w:r>
      <w:r w:rsidRPr="00AD107B">
        <w:rPr>
          <w:b/>
          <w:bCs/>
          <w:sz w:val="24"/>
          <w:szCs w:val="24"/>
        </w:rPr>
        <w:t xml:space="preserve"> год и на плановый период 20</w:t>
      </w:r>
      <w:r w:rsidR="00BE2979" w:rsidRPr="00AD107B">
        <w:rPr>
          <w:b/>
          <w:bCs/>
          <w:sz w:val="24"/>
          <w:szCs w:val="24"/>
        </w:rPr>
        <w:t>2</w:t>
      </w:r>
      <w:r w:rsidR="00870CE8" w:rsidRPr="00AD107B">
        <w:rPr>
          <w:b/>
          <w:bCs/>
          <w:sz w:val="24"/>
          <w:szCs w:val="24"/>
        </w:rPr>
        <w:t>6</w:t>
      </w:r>
      <w:r w:rsidRPr="00AD107B">
        <w:rPr>
          <w:b/>
          <w:bCs/>
          <w:sz w:val="24"/>
          <w:szCs w:val="24"/>
        </w:rPr>
        <w:t xml:space="preserve"> и 20</w:t>
      </w:r>
      <w:r w:rsidR="00BE2979" w:rsidRPr="00AD107B">
        <w:rPr>
          <w:b/>
          <w:bCs/>
          <w:sz w:val="24"/>
          <w:szCs w:val="24"/>
        </w:rPr>
        <w:t>2</w:t>
      </w:r>
      <w:r w:rsidR="00870CE8" w:rsidRPr="00AD107B">
        <w:rPr>
          <w:b/>
          <w:bCs/>
          <w:sz w:val="24"/>
          <w:szCs w:val="24"/>
        </w:rPr>
        <w:t>7</w:t>
      </w:r>
      <w:r w:rsidRPr="00AD107B">
        <w:rPr>
          <w:b/>
          <w:bCs/>
          <w:sz w:val="24"/>
          <w:szCs w:val="24"/>
        </w:rPr>
        <w:t xml:space="preserve"> годов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1. Утвердить распределение бюджетных ассигнований по разделам, подразделам, целевым статьям (муниципальным программам муниципального образования и непрограммным направлениям деятельности), группам видов расходов классификации расходов местного бюджета 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</w:t>
      </w:r>
      <w:r w:rsidR="00BE2979" w:rsidRPr="00AD107B">
        <w:rPr>
          <w:rFonts w:ascii="Arial" w:hAnsi="Arial" w:cs="Arial"/>
          <w:sz w:val="24"/>
          <w:szCs w:val="24"/>
        </w:rPr>
        <w:t xml:space="preserve">и </w:t>
      </w:r>
      <w:r w:rsidRPr="00AD107B">
        <w:rPr>
          <w:rFonts w:ascii="Arial" w:hAnsi="Arial" w:cs="Arial"/>
          <w:sz w:val="24"/>
          <w:szCs w:val="24"/>
        </w:rPr>
        <w:t>на плановый период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BE2979" w:rsidRPr="00AD107B">
        <w:rPr>
          <w:rFonts w:ascii="Arial" w:hAnsi="Arial" w:cs="Arial"/>
          <w:sz w:val="24"/>
          <w:szCs w:val="24"/>
        </w:rPr>
        <w:t>3</w:t>
      </w:r>
      <w:r w:rsidRPr="00AD107B">
        <w:rPr>
          <w:rFonts w:ascii="Arial" w:hAnsi="Arial" w:cs="Arial"/>
          <w:sz w:val="24"/>
          <w:szCs w:val="24"/>
        </w:rPr>
        <w:t xml:space="preserve"> к настоящему </w:t>
      </w:r>
      <w:r w:rsidR="00D94E3D" w:rsidRPr="00AD107B">
        <w:rPr>
          <w:rFonts w:ascii="Arial" w:hAnsi="Arial" w:cs="Arial"/>
          <w:sz w:val="24"/>
          <w:szCs w:val="24"/>
        </w:rPr>
        <w:t>Р</w:t>
      </w:r>
      <w:r w:rsidRPr="00AD107B">
        <w:rPr>
          <w:rFonts w:ascii="Arial" w:hAnsi="Arial" w:cs="Arial"/>
          <w:sz w:val="24"/>
          <w:szCs w:val="24"/>
        </w:rPr>
        <w:t>ешению.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2. Утвердить ведомственную структуру расходов местного бюджета: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</w:t>
      </w:r>
      <w:r w:rsidR="00BE2979" w:rsidRPr="00AD107B">
        <w:rPr>
          <w:rFonts w:ascii="Arial" w:hAnsi="Arial" w:cs="Arial"/>
          <w:sz w:val="24"/>
          <w:szCs w:val="24"/>
        </w:rPr>
        <w:t xml:space="preserve">и </w:t>
      </w:r>
      <w:r w:rsidRPr="00AD107B">
        <w:rPr>
          <w:rFonts w:ascii="Arial" w:hAnsi="Arial" w:cs="Arial"/>
          <w:sz w:val="24"/>
          <w:szCs w:val="24"/>
        </w:rPr>
        <w:t>на плановый период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годов согласно приложению № </w:t>
      </w:r>
      <w:r w:rsidR="00BE2979" w:rsidRPr="00AD107B">
        <w:rPr>
          <w:rFonts w:ascii="Arial" w:hAnsi="Arial" w:cs="Arial"/>
          <w:sz w:val="24"/>
          <w:szCs w:val="24"/>
        </w:rPr>
        <w:t>4</w:t>
      </w:r>
      <w:r w:rsidRPr="00AD107B">
        <w:rPr>
          <w:rFonts w:ascii="Arial" w:hAnsi="Arial" w:cs="Arial"/>
          <w:sz w:val="24"/>
          <w:szCs w:val="24"/>
        </w:rPr>
        <w:t xml:space="preserve"> к настоящему </w:t>
      </w:r>
      <w:r w:rsidR="00D94E3D" w:rsidRPr="00AD107B">
        <w:rPr>
          <w:rFonts w:ascii="Arial" w:hAnsi="Arial" w:cs="Arial"/>
          <w:sz w:val="24"/>
          <w:szCs w:val="24"/>
        </w:rPr>
        <w:t>Р</w:t>
      </w:r>
      <w:r w:rsidRPr="00AD107B">
        <w:rPr>
          <w:rFonts w:ascii="Arial" w:hAnsi="Arial" w:cs="Arial"/>
          <w:sz w:val="24"/>
          <w:szCs w:val="24"/>
        </w:rPr>
        <w:t>ешению.</w:t>
      </w:r>
    </w:p>
    <w:p w:rsidR="006D388E" w:rsidRPr="00AD107B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bCs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3.Утвердить </w:t>
      </w:r>
      <w:r w:rsidRPr="00AD107B">
        <w:rPr>
          <w:rFonts w:ascii="Arial" w:hAnsi="Arial" w:cs="Arial"/>
          <w:bCs/>
          <w:sz w:val="24"/>
          <w:szCs w:val="24"/>
        </w:rPr>
        <w:t xml:space="preserve">распределение бюджетных ассигнований по целевым статьям (муниципальным программам муниципального образования и непрограммным направлениям деятельности), группам видов расходов классификации расходов местного бюджета: </w:t>
      </w:r>
    </w:p>
    <w:p w:rsidR="006D388E" w:rsidRPr="00AD107B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t>на 202</w:t>
      </w:r>
      <w:r w:rsidR="00870CE8" w:rsidRPr="00AD107B">
        <w:rPr>
          <w:rFonts w:ascii="Arial" w:hAnsi="Arial" w:cs="Arial"/>
          <w:bCs/>
          <w:sz w:val="24"/>
          <w:szCs w:val="24"/>
        </w:rPr>
        <w:t>5</w:t>
      </w:r>
      <w:r w:rsidRPr="00AD107B">
        <w:rPr>
          <w:rFonts w:ascii="Arial" w:hAnsi="Arial" w:cs="Arial"/>
          <w:bCs/>
          <w:sz w:val="24"/>
          <w:szCs w:val="24"/>
        </w:rPr>
        <w:t xml:space="preserve"> год </w:t>
      </w:r>
      <w:r w:rsidR="00BE2979" w:rsidRPr="00AD107B">
        <w:rPr>
          <w:rFonts w:ascii="Arial" w:hAnsi="Arial" w:cs="Arial"/>
          <w:bCs/>
          <w:sz w:val="24"/>
          <w:szCs w:val="24"/>
        </w:rPr>
        <w:t>и</w:t>
      </w:r>
      <w:r w:rsidRPr="00AD107B">
        <w:rPr>
          <w:rFonts w:ascii="Arial" w:hAnsi="Arial" w:cs="Arial"/>
          <w:sz w:val="24"/>
          <w:szCs w:val="24"/>
        </w:rPr>
        <w:t xml:space="preserve"> 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годы согласно приложению № </w:t>
      </w:r>
      <w:r w:rsidR="00BE2979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к настоящему </w:t>
      </w:r>
      <w:r w:rsidR="00D94E3D" w:rsidRPr="00AD107B">
        <w:rPr>
          <w:rFonts w:ascii="Arial" w:hAnsi="Arial" w:cs="Arial"/>
          <w:sz w:val="24"/>
          <w:szCs w:val="24"/>
        </w:rPr>
        <w:t>Р</w:t>
      </w:r>
      <w:r w:rsidRPr="00AD107B">
        <w:rPr>
          <w:rFonts w:ascii="Arial" w:hAnsi="Arial" w:cs="Arial"/>
          <w:sz w:val="24"/>
          <w:szCs w:val="24"/>
        </w:rPr>
        <w:t>ешению.</w:t>
      </w:r>
    </w:p>
    <w:p w:rsidR="006D388E" w:rsidRPr="00AD107B" w:rsidRDefault="006D388E" w:rsidP="006D388E">
      <w:pPr>
        <w:tabs>
          <w:tab w:val="left" w:pos="1065"/>
        </w:tabs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t xml:space="preserve">4. </w:t>
      </w:r>
      <w:r w:rsidRPr="00AD107B">
        <w:rPr>
          <w:rFonts w:ascii="Arial" w:hAnsi="Arial" w:cs="Arial"/>
          <w:sz w:val="24"/>
          <w:szCs w:val="24"/>
        </w:rPr>
        <w:t xml:space="preserve">Утвердить размер резервного фонда Администрации </w:t>
      </w:r>
      <w:r w:rsidR="009C0CDE" w:rsidRPr="00AD107B">
        <w:rPr>
          <w:rFonts w:ascii="Arial" w:hAnsi="Arial" w:cs="Arial"/>
          <w:sz w:val="24"/>
          <w:szCs w:val="24"/>
        </w:rPr>
        <w:t>Борковского</w:t>
      </w:r>
      <w:r w:rsidRPr="00AD107B">
        <w:rPr>
          <w:rFonts w:ascii="Arial" w:hAnsi="Arial" w:cs="Arial"/>
          <w:sz w:val="24"/>
          <w:szCs w:val="24"/>
        </w:rPr>
        <w:t>сельсовета на 20</w:t>
      </w:r>
      <w:r w:rsidR="001041E1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 w:rsidRPr="00AD107B">
        <w:rPr>
          <w:rFonts w:ascii="Arial" w:hAnsi="Arial" w:cs="Arial"/>
          <w:sz w:val="24"/>
          <w:szCs w:val="24"/>
        </w:rPr>
        <w:t>лей</w:t>
      </w:r>
      <w:r w:rsidRPr="00AD107B">
        <w:rPr>
          <w:rFonts w:ascii="Arial" w:hAnsi="Arial" w:cs="Arial"/>
          <w:sz w:val="24"/>
          <w:szCs w:val="24"/>
        </w:rPr>
        <w:t>; 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 w:rsidRPr="00AD107B">
        <w:rPr>
          <w:rFonts w:ascii="Arial" w:hAnsi="Arial" w:cs="Arial"/>
          <w:sz w:val="24"/>
          <w:szCs w:val="24"/>
        </w:rPr>
        <w:t>лей</w:t>
      </w:r>
      <w:r w:rsidRPr="00AD107B">
        <w:rPr>
          <w:rFonts w:ascii="Arial" w:hAnsi="Arial" w:cs="Arial"/>
          <w:sz w:val="24"/>
          <w:szCs w:val="24"/>
        </w:rPr>
        <w:t>; на 20</w:t>
      </w:r>
      <w:r w:rsidR="00BE2979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 в сумме 100,00 руб</w:t>
      </w:r>
      <w:r w:rsidR="00BE2979" w:rsidRPr="00AD107B">
        <w:rPr>
          <w:rFonts w:ascii="Arial" w:hAnsi="Arial" w:cs="Arial"/>
          <w:sz w:val="24"/>
          <w:szCs w:val="24"/>
        </w:rPr>
        <w:t>лей</w:t>
      </w:r>
      <w:r w:rsidRPr="00AD107B">
        <w:rPr>
          <w:rFonts w:ascii="Arial" w:hAnsi="Arial" w:cs="Arial"/>
          <w:sz w:val="24"/>
          <w:szCs w:val="24"/>
        </w:rPr>
        <w:t>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6. Особенности исполнения местного бюджета в 20</w:t>
      </w:r>
      <w:r w:rsidR="001A08D0" w:rsidRPr="00AD107B">
        <w:rPr>
          <w:rFonts w:ascii="Arial" w:hAnsi="Arial" w:cs="Arial"/>
          <w:b/>
          <w:sz w:val="24"/>
          <w:szCs w:val="24"/>
        </w:rPr>
        <w:t>2</w:t>
      </w:r>
      <w:r w:rsidR="00870CE8" w:rsidRPr="00AD107B">
        <w:rPr>
          <w:rFonts w:ascii="Arial" w:hAnsi="Arial" w:cs="Arial"/>
          <w:b/>
          <w:sz w:val="24"/>
          <w:szCs w:val="24"/>
        </w:rPr>
        <w:t>5</w:t>
      </w:r>
      <w:r w:rsidRPr="00AD107B">
        <w:rPr>
          <w:rFonts w:ascii="Arial" w:hAnsi="Arial" w:cs="Arial"/>
          <w:b/>
          <w:sz w:val="24"/>
          <w:szCs w:val="24"/>
        </w:rPr>
        <w:t xml:space="preserve"> году </w:t>
      </w:r>
    </w:p>
    <w:p w:rsidR="002F0F11" w:rsidRPr="002F0F11" w:rsidRDefault="006D388E" w:rsidP="002F0F11">
      <w:pPr>
        <w:spacing w:line="240" w:lineRule="auto"/>
        <w:ind w:firstLine="709"/>
        <w:jc w:val="both"/>
        <w:rPr>
          <w:rFonts w:ascii="Arial" w:hAnsi="Arial" w:cs="Arial"/>
          <w:color w:val="273350"/>
          <w:sz w:val="24"/>
          <w:szCs w:val="24"/>
          <w:shd w:val="clear" w:color="auto" w:fill="FFFFFF"/>
        </w:rPr>
      </w:pPr>
      <w:r w:rsidRPr="00AD107B">
        <w:rPr>
          <w:rFonts w:ascii="Arial" w:hAnsi="Arial" w:cs="Arial"/>
          <w:sz w:val="24"/>
          <w:szCs w:val="24"/>
        </w:rPr>
        <w:t xml:space="preserve">1. </w:t>
      </w:r>
      <w:r w:rsidR="002F0F11">
        <w:rPr>
          <w:rFonts w:ascii="Arial" w:hAnsi="Arial" w:cs="Arial"/>
          <w:color w:val="273350"/>
          <w:sz w:val="20"/>
          <w:szCs w:val="20"/>
          <w:shd w:val="clear" w:color="auto" w:fill="FFFFFF"/>
        </w:rPr>
        <w:t xml:space="preserve"> </w:t>
      </w:r>
      <w:r w:rsidR="002F0F11" w:rsidRPr="002F0F11">
        <w:rPr>
          <w:rFonts w:ascii="Arial" w:hAnsi="Arial" w:cs="Arial"/>
          <w:color w:val="273350"/>
          <w:sz w:val="24"/>
          <w:szCs w:val="24"/>
          <w:shd w:val="clear" w:color="auto" w:fill="FFFFFF"/>
        </w:rPr>
        <w:t>Остатки средств местного бюджета по состоянию на 1 января 2025 года на счете местного бюджета, образовавшиеся в связи с неполным использованием получателями средств местного бюджета восстановленных Фондом пенсионного и социального страхования Российской Федерации кассовых расходов, в соответствии с федеральным законодательством направляются в 2025 году на те же цели в качестве дополнительного источника</w:t>
      </w:r>
    </w:p>
    <w:p w:rsidR="006D388E" w:rsidRPr="00AD107B" w:rsidRDefault="006D388E" w:rsidP="002F0F11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2. Установить дополнительные основания для внесения изменений в сводную бюджетную роспись муниципального образования без внесения изменений в настоящее Решение: </w:t>
      </w:r>
    </w:p>
    <w:p w:rsidR="006D388E" w:rsidRPr="00AD107B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1) реорганизация муниципальных учреждений;</w:t>
      </w:r>
    </w:p>
    <w:p w:rsidR="006D388E" w:rsidRPr="00AD107B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2) перераспределение бюджетных ассигнований, предусмотренных на оплату труда работников органа местного самоуправления, между главными распорядителями средств местного бюджета, разделами, подразделами, целевыми статьями, видами расходов классификации расходов бюджета в случае принятия Главой муниципального образования решений о сокращении численности работников этого органа местного самоуправления Суджанского района Курской области;</w:t>
      </w:r>
    </w:p>
    <w:p w:rsidR="006D388E" w:rsidRPr="00AD107B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3) перераспределение бюджетных ассигнований на региональные проекты, входящие в состав национальных проектов, осуществляемые в рамках муниципальных программ местного бюджета, в пределах объемов, предусмотренных на реализацию соответствующих муниципальных программ;</w:t>
      </w:r>
    </w:p>
    <w:p w:rsidR="006D388E" w:rsidRPr="00AD107B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lastRenderedPageBreak/>
        <w:t>4) перераспределение бюджетных ассигнований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муниципальных нужд, на основании правового акта администрации муниципального образования;</w:t>
      </w:r>
    </w:p>
    <w:p w:rsidR="006D388E" w:rsidRPr="00AD107B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t>5) 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местному бюджету из областного бюджета, в пределах объема бюджетных ассигнований, предусмотренных по соответствующей муниципальной программе;</w:t>
      </w:r>
    </w:p>
    <w:p w:rsidR="006D388E" w:rsidRPr="00AD107B" w:rsidRDefault="006D388E" w:rsidP="006D388E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bCs/>
          <w:sz w:val="24"/>
          <w:szCs w:val="24"/>
        </w:rPr>
        <w:t>6) переименование главного распорядителя средств местного бюджета, создание или ликвидация главного распорядителя средств местного бюджета.</w:t>
      </w:r>
    </w:p>
    <w:p w:rsidR="006D388E" w:rsidRPr="00AD107B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3. Установить, что получатель средств местного бюджета вправе предусматривать авансовые платежи:</w:t>
      </w:r>
    </w:p>
    <w:p w:rsidR="006D388E" w:rsidRPr="00AD107B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1) при заключении договоров (муниципальных контрактов) на поставку товаров (работ, услуг) в размерах:</w:t>
      </w:r>
    </w:p>
    <w:p w:rsidR="006D388E" w:rsidRPr="00AD107B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а) 100 процентов суммы договора (муниципального контракта) – по договорам (контрактам):</w:t>
      </w:r>
    </w:p>
    <w:p w:rsidR="006D388E" w:rsidRPr="00AD107B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местного бюджета;</w:t>
      </w:r>
    </w:p>
    <w:p w:rsidR="006D388E" w:rsidRPr="00AD107B" w:rsidRDefault="006D388E" w:rsidP="006D388E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б) не более 30 процентов суммы договора (муниципального контракта) – по иным договорам (муниципальным контрактам), если иное не предусмотрено законодательством Российской Федерации;</w:t>
      </w:r>
    </w:p>
    <w:p w:rsidR="006D388E" w:rsidRPr="00AD107B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2) 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</w:p>
    <w:p w:rsidR="006D388E" w:rsidRPr="00AD107B" w:rsidRDefault="006D388E" w:rsidP="006D388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4. Предоставить право Администрации </w:t>
      </w:r>
      <w:r w:rsidR="00AD76C3">
        <w:rPr>
          <w:rFonts w:ascii="Arial" w:hAnsi="Arial" w:cs="Arial"/>
          <w:sz w:val="24"/>
          <w:szCs w:val="24"/>
        </w:rPr>
        <w:t>Борков</w:t>
      </w:r>
      <w:r w:rsidR="001D6604" w:rsidRPr="00AD107B">
        <w:rPr>
          <w:rFonts w:ascii="Arial" w:hAnsi="Arial" w:cs="Arial"/>
          <w:sz w:val="24"/>
          <w:szCs w:val="24"/>
        </w:rPr>
        <w:t>ского</w:t>
      </w:r>
      <w:r w:rsidRPr="00AD107B">
        <w:rPr>
          <w:rFonts w:ascii="Arial" w:hAnsi="Arial" w:cs="Arial"/>
          <w:sz w:val="24"/>
          <w:szCs w:val="24"/>
        </w:rPr>
        <w:t xml:space="preserve"> сельсовета Курской области определить перечень приоритетных расходов местного бюджета, подлежащих финансированию в первоочередном порядке.</w:t>
      </w:r>
    </w:p>
    <w:p w:rsidR="00174C30" w:rsidRPr="00AD107B" w:rsidRDefault="00174C30" w:rsidP="00174C30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lastRenderedPageBreak/>
        <w:t>Статья 7. Межбюджетные трансферты, предоставляемые другим бюджетам бюджетной системы Российской Федерации</w:t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Утвердить размер межбюджетных трансфертов  бюджету муниципального  района  на  202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 год  в  сумме  </w:t>
      </w:r>
      <w:r w:rsidR="00D722A0" w:rsidRPr="00AD107B">
        <w:rPr>
          <w:rFonts w:ascii="Arial" w:hAnsi="Arial" w:cs="Arial"/>
          <w:sz w:val="24"/>
          <w:szCs w:val="24"/>
        </w:rPr>
        <w:t>415 250</w:t>
      </w:r>
      <w:r w:rsidRPr="00AD107B">
        <w:rPr>
          <w:rFonts w:ascii="Arial" w:hAnsi="Arial" w:cs="Arial"/>
          <w:sz w:val="24"/>
          <w:szCs w:val="24"/>
        </w:rPr>
        <w:t>,00  рублей;  на   плановый  период   202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 года  в  сумме  </w:t>
      </w:r>
      <w:r w:rsidR="00D722A0" w:rsidRPr="00AD107B">
        <w:rPr>
          <w:rFonts w:ascii="Arial" w:hAnsi="Arial" w:cs="Arial"/>
          <w:sz w:val="24"/>
          <w:szCs w:val="24"/>
        </w:rPr>
        <w:t>290 675</w:t>
      </w:r>
      <w:r w:rsidRPr="00AD107B">
        <w:rPr>
          <w:rFonts w:ascii="Arial" w:hAnsi="Arial" w:cs="Arial"/>
          <w:sz w:val="24"/>
          <w:szCs w:val="24"/>
        </w:rPr>
        <w:t>,00  рублей  и  202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 года  в  сумме  </w:t>
      </w:r>
      <w:r w:rsidR="00D722A0" w:rsidRPr="00AD107B">
        <w:rPr>
          <w:rFonts w:ascii="Arial" w:hAnsi="Arial" w:cs="Arial"/>
          <w:sz w:val="24"/>
          <w:szCs w:val="24"/>
        </w:rPr>
        <w:t>290 675</w:t>
      </w:r>
      <w:r w:rsidRPr="00AD107B">
        <w:rPr>
          <w:rFonts w:ascii="Arial" w:hAnsi="Arial" w:cs="Arial"/>
          <w:sz w:val="24"/>
          <w:szCs w:val="24"/>
        </w:rPr>
        <w:t xml:space="preserve">,00 рублей:  </w:t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1.</w:t>
      </w:r>
      <w:r w:rsidRPr="00AD107B">
        <w:rPr>
          <w:rFonts w:ascii="Arial" w:hAnsi="Arial" w:cs="Arial"/>
          <w:sz w:val="24"/>
          <w:szCs w:val="24"/>
        </w:rPr>
        <w:tab/>
        <w:t xml:space="preserve">по передаче части полномочий по осуществлению внутреннего муниципального финансового контроля;  </w:t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2.</w:t>
      </w:r>
      <w:r w:rsidRPr="00AD107B">
        <w:rPr>
          <w:rFonts w:ascii="Arial" w:hAnsi="Arial" w:cs="Arial"/>
          <w:sz w:val="24"/>
          <w:szCs w:val="24"/>
        </w:rPr>
        <w:tab/>
        <w:t xml:space="preserve">по передаче части полномочий по осуществлению внешнего муниципального финансового контроля; </w:t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3.</w:t>
      </w:r>
      <w:r w:rsidRPr="00AD107B">
        <w:rPr>
          <w:rFonts w:ascii="Arial" w:hAnsi="Arial" w:cs="Arial"/>
          <w:sz w:val="24"/>
          <w:szCs w:val="24"/>
        </w:rPr>
        <w:tab/>
        <w:t xml:space="preserve">на осуществление части полномочий поселения по составлению проекта бюджета поселения, исполнению бюджета поселения, составлению отчетов об исполнении бюджета поселения;  </w:t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4. на принятие функций по ведению бюджетного (бухгалтерского) учета и формированию бюджетной (бухгалтерской) отчетности;</w:t>
      </w:r>
      <w:r w:rsidRPr="00AD107B">
        <w:rPr>
          <w:rFonts w:ascii="Arial" w:hAnsi="Arial" w:cs="Arial"/>
          <w:sz w:val="24"/>
          <w:szCs w:val="24"/>
        </w:rPr>
        <w:tab/>
      </w:r>
      <w:r w:rsidRPr="00AD107B">
        <w:rPr>
          <w:rFonts w:ascii="Arial" w:hAnsi="Arial" w:cs="Arial"/>
          <w:sz w:val="24"/>
          <w:szCs w:val="24"/>
        </w:rPr>
        <w:tab/>
      </w:r>
    </w:p>
    <w:p w:rsidR="00174C30" w:rsidRPr="00AD107B" w:rsidRDefault="00174C30" w:rsidP="00174C3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5. по передаче части полномочий по организации ритуальных услуг от Администрации </w:t>
      </w:r>
      <w:r w:rsidR="00C06387" w:rsidRPr="00AD107B">
        <w:rPr>
          <w:rFonts w:ascii="Arial" w:hAnsi="Arial" w:cs="Arial"/>
          <w:sz w:val="24"/>
          <w:szCs w:val="24"/>
        </w:rPr>
        <w:t>Борковского</w:t>
      </w:r>
      <w:r w:rsidRPr="00AD107B">
        <w:rPr>
          <w:rFonts w:ascii="Arial" w:hAnsi="Arial" w:cs="Arial"/>
          <w:sz w:val="24"/>
          <w:szCs w:val="24"/>
        </w:rPr>
        <w:t xml:space="preserve"> сельсовета Суджанского района Курской области Администрации муниципального района «Суджанский район» Курской области</w:t>
      </w:r>
      <w:r w:rsidR="000B73A9" w:rsidRPr="00AD107B">
        <w:rPr>
          <w:rFonts w:ascii="Arial" w:hAnsi="Arial" w:cs="Arial"/>
          <w:sz w:val="24"/>
          <w:szCs w:val="24"/>
        </w:rPr>
        <w:t>;</w:t>
      </w:r>
    </w:p>
    <w:p w:rsidR="000B73A9" w:rsidRPr="00AD107B" w:rsidRDefault="000B73A9" w:rsidP="000B73A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6. на софинансирование расходных обязательств по созданию условий для обеспечения поселений, входящих в состав муниципального района, услугами по организации досуга и услугами организаций культуры согласно приложению  № 6  к настоящему  Решению.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8. Особенности использования бюджетных ассигнований на обеспечение деятельности органов местного самоуправления и муниципальных казенных учреждений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Органы местного самоуправлении не вправе принимать решения, приводящие к увеличению в 20</w:t>
      </w:r>
      <w:r w:rsidR="001A08D0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году численности муниципальных служащих и работников муниципальных казенных учреждений.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9. Муниципальный долг муниципального образования</w:t>
      </w:r>
    </w:p>
    <w:p w:rsidR="006D388E" w:rsidRPr="00AD107B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1. Объем муниципального долга при осуществлении муниципальных заимствований не должен превышать следующие значения:</w:t>
      </w:r>
    </w:p>
    <w:p w:rsidR="006D388E" w:rsidRPr="00AD107B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в 20</w:t>
      </w:r>
      <w:r w:rsidR="008A3DD2" w:rsidRPr="00AD107B">
        <w:rPr>
          <w:rFonts w:ascii="Arial" w:hAnsi="Arial" w:cs="Arial"/>
        </w:rPr>
        <w:t>2</w:t>
      </w:r>
      <w:r w:rsidR="00870CE8" w:rsidRPr="00AD107B">
        <w:rPr>
          <w:rFonts w:ascii="Arial" w:hAnsi="Arial" w:cs="Arial"/>
        </w:rPr>
        <w:t>5</w:t>
      </w:r>
      <w:r w:rsidRPr="00AD107B">
        <w:rPr>
          <w:rFonts w:ascii="Arial" w:hAnsi="Arial" w:cs="Arial"/>
        </w:rPr>
        <w:t xml:space="preserve"> году до</w:t>
      </w:r>
      <w:r w:rsidR="00E93AB4" w:rsidRPr="00AD107B">
        <w:rPr>
          <w:rFonts w:ascii="Arial" w:hAnsi="Arial" w:cs="Arial"/>
        </w:rPr>
        <w:t>80185</w:t>
      </w:r>
      <w:r w:rsidRPr="00AD107B">
        <w:rPr>
          <w:rFonts w:ascii="Arial" w:hAnsi="Arial" w:cs="Arial"/>
        </w:rPr>
        <w:t xml:space="preserve"> рублей;</w:t>
      </w:r>
    </w:p>
    <w:p w:rsidR="006D388E" w:rsidRPr="00AD107B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в 20</w:t>
      </w:r>
      <w:r w:rsidR="00870CE8" w:rsidRPr="00AD107B">
        <w:rPr>
          <w:rFonts w:ascii="Arial" w:hAnsi="Arial" w:cs="Arial"/>
        </w:rPr>
        <w:t>26</w:t>
      </w:r>
      <w:r w:rsidRPr="00AD107B">
        <w:rPr>
          <w:rFonts w:ascii="Arial" w:hAnsi="Arial" w:cs="Arial"/>
        </w:rPr>
        <w:t xml:space="preserve"> году до </w:t>
      </w:r>
      <w:r w:rsidR="009C0CDE" w:rsidRPr="00AD107B">
        <w:rPr>
          <w:rFonts w:ascii="Arial" w:hAnsi="Arial" w:cs="Arial"/>
        </w:rPr>
        <w:t>87 364</w:t>
      </w:r>
      <w:r w:rsidR="00EA38E0" w:rsidRPr="00AD107B">
        <w:rPr>
          <w:rFonts w:ascii="Arial" w:hAnsi="Arial" w:cs="Arial"/>
        </w:rPr>
        <w:t>,</w:t>
      </w:r>
      <w:r w:rsidR="008A3DD2" w:rsidRPr="00AD107B">
        <w:rPr>
          <w:rFonts w:ascii="Arial" w:hAnsi="Arial" w:cs="Arial"/>
        </w:rPr>
        <w:t>00</w:t>
      </w:r>
      <w:r w:rsidRPr="00AD107B">
        <w:rPr>
          <w:rFonts w:ascii="Arial" w:hAnsi="Arial" w:cs="Arial"/>
        </w:rPr>
        <w:t xml:space="preserve"> рублей;</w:t>
      </w:r>
    </w:p>
    <w:p w:rsidR="006D388E" w:rsidRPr="00AD107B" w:rsidRDefault="006D388E" w:rsidP="006D388E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в 20</w:t>
      </w:r>
      <w:r w:rsidR="00870CE8" w:rsidRPr="00AD107B">
        <w:rPr>
          <w:rFonts w:ascii="Arial" w:hAnsi="Arial" w:cs="Arial"/>
          <w:sz w:val="24"/>
          <w:szCs w:val="24"/>
        </w:rPr>
        <w:t>27</w:t>
      </w:r>
      <w:r w:rsidRPr="00AD107B">
        <w:rPr>
          <w:rFonts w:ascii="Arial" w:hAnsi="Arial" w:cs="Arial"/>
          <w:sz w:val="24"/>
          <w:szCs w:val="24"/>
        </w:rPr>
        <w:t xml:space="preserve"> году до </w:t>
      </w:r>
      <w:r w:rsidR="009C0CDE" w:rsidRPr="00AD107B">
        <w:rPr>
          <w:rFonts w:ascii="Arial" w:hAnsi="Arial" w:cs="Arial"/>
          <w:sz w:val="24"/>
          <w:szCs w:val="24"/>
        </w:rPr>
        <w:t>96 049</w:t>
      </w:r>
      <w:r w:rsidRPr="00AD107B">
        <w:rPr>
          <w:rFonts w:ascii="Arial" w:hAnsi="Arial" w:cs="Arial"/>
          <w:sz w:val="24"/>
          <w:szCs w:val="24"/>
        </w:rPr>
        <w:t>,00 рублей.</w:t>
      </w:r>
    </w:p>
    <w:p w:rsidR="006D388E" w:rsidRPr="00AD107B" w:rsidRDefault="006D388E" w:rsidP="006D388E">
      <w:pPr>
        <w:pStyle w:val="a3"/>
        <w:spacing w:before="0" w:beforeAutospacing="0" w:after="0" w:line="276" w:lineRule="auto"/>
        <w:ind w:firstLine="709"/>
        <w:jc w:val="both"/>
        <w:rPr>
          <w:rFonts w:ascii="Arial" w:hAnsi="Arial" w:cs="Arial"/>
        </w:rPr>
      </w:pPr>
      <w:r w:rsidRPr="00AD107B">
        <w:rPr>
          <w:rFonts w:ascii="Arial" w:hAnsi="Arial" w:cs="Arial"/>
        </w:rPr>
        <w:t>2. Установить верхний предел муниципального внутреннего долга муниципального образования на 1 января 20</w:t>
      </w:r>
      <w:r w:rsidR="008A3DD2" w:rsidRPr="00AD107B">
        <w:rPr>
          <w:rFonts w:ascii="Arial" w:hAnsi="Arial" w:cs="Arial"/>
        </w:rPr>
        <w:t>2</w:t>
      </w:r>
      <w:r w:rsidR="00870CE8" w:rsidRPr="00AD107B">
        <w:rPr>
          <w:rFonts w:ascii="Arial" w:hAnsi="Arial" w:cs="Arial"/>
        </w:rPr>
        <w:t>6</w:t>
      </w:r>
      <w:r w:rsidRPr="00AD107B">
        <w:rPr>
          <w:rFonts w:ascii="Arial" w:hAnsi="Arial" w:cs="Arial"/>
        </w:rPr>
        <w:t xml:space="preserve"> года по долговым обязательствам в сумме </w:t>
      </w:r>
      <w:r w:rsidR="001D6604" w:rsidRPr="00AD107B">
        <w:rPr>
          <w:rFonts w:ascii="Arial" w:hAnsi="Arial" w:cs="Arial"/>
        </w:rPr>
        <w:t>29</w:t>
      </w:r>
      <w:r w:rsidR="001041E1" w:rsidRPr="00AD107B">
        <w:rPr>
          <w:rFonts w:ascii="Arial" w:hAnsi="Arial" w:cs="Arial"/>
        </w:rPr>
        <w:t xml:space="preserve"> 000</w:t>
      </w:r>
      <w:r w:rsidRPr="00AD107B">
        <w:rPr>
          <w:rFonts w:ascii="Arial" w:hAnsi="Arial" w:cs="Arial"/>
        </w:rPr>
        <w:t>,00 рублей, в том числе по муниципальным гарантиям 0,00 рублей.</w:t>
      </w:r>
    </w:p>
    <w:p w:rsidR="008A3DD2" w:rsidRPr="00AD107B" w:rsidRDefault="006D388E" w:rsidP="008A3DD2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3. Установить верхний предел муниципального внутреннего долга муниципального образования на 1 января 20</w:t>
      </w:r>
      <w:r w:rsidR="00870CE8" w:rsidRPr="00AD107B">
        <w:rPr>
          <w:rFonts w:ascii="Arial" w:hAnsi="Arial" w:cs="Arial"/>
          <w:sz w:val="24"/>
          <w:szCs w:val="24"/>
        </w:rPr>
        <w:t>27</w:t>
      </w:r>
      <w:r w:rsidRPr="00AD107B"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:rsidR="006D388E" w:rsidRPr="00AD107B" w:rsidRDefault="006D388E" w:rsidP="008A3DD2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4. Установить верхний предел муниципального внутреннего долга муниципального образования на 1 января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8</w:t>
      </w:r>
      <w:r w:rsidRPr="00AD107B">
        <w:rPr>
          <w:rFonts w:ascii="Arial" w:hAnsi="Arial" w:cs="Arial"/>
          <w:sz w:val="24"/>
          <w:szCs w:val="24"/>
        </w:rPr>
        <w:t xml:space="preserve"> года по долговым обязательствам в сумме 0,0 рублей, в том числе по муниципальным гарантиям – 0,0 рублей.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lastRenderedPageBreak/>
        <w:t>5. Утвердить Программу муниципальных внутренних заимствований муниципального образования на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</w:t>
      </w:r>
      <w:r w:rsidR="008A3DD2" w:rsidRPr="00AD107B">
        <w:rPr>
          <w:rFonts w:ascii="Arial" w:hAnsi="Arial" w:cs="Arial"/>
          <w:sz w:val="24"/>
          <w:szCs w:val="24"/>
        </w:rPr>
        <w:t>и</w:t>
      </w:r>
      <w:r w:rsidRPr="00AD107B">
        <w:rPr>
          <w:rFonts w:ascii="Arial" w:hAnsi="Arial" w:cs="Arial"/>
          <w:sz w:val="24"/>
          <w:szCs w:val="24"/>
        </w:rPr>
        <w:t xml:space="preserve"> на плановый период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8A3DD2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6D388E" w:rsidRPr="00AD107B" w:rsidRDefault="006D388E" w:rsidP="006D388E">
      <w:pPr>
        <w:spacing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6. Утвердить Программу муниципальных гарантий на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5</w:t>
      </w:r>
      <w:r w:rsidRPr="00AD107B">
        <w:rPr>
          <w:rFonts w:ascii="Arial" w:hAnsi="Arial" w:cs="Arial"/>
          <w:sz w:val="24"/>
          <w:szCs w:val="24"/>
        </w:rPr>
        <w:t xml:space="preserve"> год </w:t>
      </w:r>
      <w:r w:rsidR="008A3DD2" w:rsidRPr="00AD107B">
        <w:rPr>
          <w:rFonts w:ascii="Arial" w:hAnsi="Arial" w:cs="Arial"/>
          <w:sz w:val="24"/>
          <w:szCs w:val="24"/>
        </w:rPr>
        <w:t>и</w:t>
      </w:r>
      <w:r w:rsidRPr="00AD107B">
        <w:rPr>
          <w:rFonts w:ascii="Arial" w:hAnsi="Arial" w:cs="Arial"/>
          <w:sz w:val="24"/>
          <w:szCs w:val="24"/>
        </w:rPr>
        <w:t xml:space="preserve"> на плановый период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8A3DD2" w:rsidRPr="00AD107B">
        <w:rPr>
          <w:rFonts w:ascii="Arial" w:hAnsi="Arial" w:cs="Arial"/>
          <w:sz w:val="24"/>
          <w:szCs w:val="24"/>
        </w:rPr>
        <w:t>2</w:t>
      </w:r>
      <w:r w:rsidR="00870CE8" w:rsidRPr="00AD107B">
        <w:rPr>
          <w:rFonts w:ascii="Arial" w:hAnsi="Arial" w:cs="Arial"/>
          <w:sz w:val="24"/>
          <w:szCs w:val="24"/>
        </w:rPr>
        <w:t>7</w:t>
      </w:r>
      <w:r w:rsidRPr="00AD107B"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8A3DD2" w:rsidRPr="00AD107B">
        <w:rPr>
          <w:rFonts w:ascii="Arial" w:hAnsi="Arial" w:cs="Arial"/>
          <w:sz w:val="24"/>
          <w:szCs w:val="24"/>
        </w:rPr>
        <w:t>8</w:t>
      </w:r>
      <w:r w:rsidRPr="00AD107B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10. Привлечение бюджетных кредитов в 20</w:t>
      </w:r>
      <w:r w:rsidR="008A3DD2" w:rsidRPr="00AD107B">
        <w:rPr>
          <w:rFonts w:ascii="Arial" w:hAnsi="Arial" w:cs="Arial"/>
          <w:b/>
          <w:sz w:val="24"/>
          <w:szCs w:val="24"/>
        </w:rPr>
        <w:t>2</w:t>
      </w:r>
      <w:r w:rsidR="00870CE8" w:rsidRPr="00AD107B">
        <w:rPr>
          <w:rFonts w:ascii="Arial" w:hAnsi="Arial" w:cs="Arial"/>
          <w:b/>
          <w:sz w:val="24"/>
          <w:szCs w:val="24"/>
        </w:rPr>
        <w:t>5</w:t>
      </w:r>
      <w:r w:rsidRPr="00AD107B">
        <w:rPr>
          <w:rFonts w:ascii="Arial" w:hAnsi="Arial" w:cs="Arial"/>
          <w:b/>
          <w:sz w:val="24"/>
          <w:szCs w:val="24"/>
        </w:rPr>
        <w:t xml:space="preserve"> году</w:t>
      </w:r>
    </w:p>
    <w:p w:rsidR="006D388E" w:rsidRPr="00AD107B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 xml:space="preserve">Администрация </w:t>
      </w:r>
      <w:r w:rsidR="00C06387" w:rsidRPr="00AD107B">
        <w:rPr>
          <w:rFonts w:ascii="Arial" w:hAnsi="Arial" w:cs="Arial"/>
          <w:sz w:val="24"/>
          <w:szCs w:val="24"/>
        </w:rPr>
        <w:t>Борковского</w:t>
      </w:r>
      <w:r w:rsidRPr="00AD107B">
        <w:rPr>
          <w:rFonts w:ascii="Arial" w:hAnsi="Arial" w:cs="Arial"/>
          <w:sz w:val="24"/>
          <w:szCs w:val="24"/>
        </w:rPr>
        <w:t xml:space="preserve"> сельсовета Суджанского района Курской области в 20</w:t>
      </w:r>
      <w:r w:rsidR="00870CE8" w:rsidRPr="00AD107B">
        <w:rPr>
          <w:rFonts w:ascii="Arial" w:hAnsi="Arial" w:cs="Arial"/>
          <w:sz w:val="24"/>
          <w:szCs w:val="24"/>
        </w:rPr>
        <w:t>25</w:t>
      </w:r>
      <w:r w:rsidRPr="00AD107B">
        <w:rPr>
          <w:rFonts w:ascii="Arial" w:hAnsi="Arial" w:cs="Arial"/>
          <w:sz w:val="24"/>
          <w:szCs w:val="24"/>
        </w:rPr>
        <w:t xml:space="preserve"> году и в плановом периоде 20</w:t>
      </w:r>
      <w:r w:rsidR="00870CE8" w:rsidRPr="00AD107B">
        <w:rPr>
          <w:rFonts w:ascii="Arial" w:hAnsi="Arial" w:cs="Arial"/>
          <w:sz w:val="24"/>
          <w:szCs w:val="24"/>
        </w:rPr>
        <w:t>26</w:t>
      </w:r>
      <w:r w:rsidRPr="00AD107B">
        <w:rPr>
          <w:rFonts w:ascii="Arial" w:hAnsi="Arial" w:cs="Arial"/>
          <w:sz w:val="24"/>
          <w:szCs w:val="24"/>
        </w:rPr>
        <w:t xml:space="preserve"> и 20</w:t>
      </w:r>
      <w:r w:rsidR="00870CE8" w:rsidRPr="00AD107B">
        <w:rPr>
          <w:rFonts w:ascii="Arial" w:hAnsi="Arial" w:cs="Arial"/>
          <w:sz w:val="24"/>
          <w:szCs w:val="24"/>
        </w:rPr>
        <w:t>27</w:t>
      </w:r>
      <w:r w:rsidRPr="00AD107B">
        <w:rPr>
          <w:rFonts w:ascii="Arial" w:hAnsi="Arial" w:cs="Arial"/>
          <w:sz w:val="24"/>
          <w:szCs w:val="24"/>
        </w:rPr>
        <w:t xml:space="preserve"> годов</w:t>
      </w:r>
    </w:p>
    <w:p w:rsidR="006D388E" w:rsidRPr="00AD107B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1) привлекает бюджетные кредиты на финансирование кассовых разрывов, обусловленных сезонным характером затрат либо сезонным характером поступлений доходов, погашение муниципальных долговых обязательств и на пополнение остатков средств на счете местного бюджета;</w:t>
      </w:r>
    </w:p>
    <w:p w:rsidR="006D388E" w:rsidRPr="00AD107B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2) в рамках установленного размера муниципального долга привлекает бюджетные кредиты сроком до трех лет для финансирования дефицита местного бюджета и погашения долговых обязательств.</w:t>
      </w:r>
    </w:p>
    <w:p w:rsidR="006D388E" w:rsidRPr="00AD107B" w:rsidRDefault="006D388E" w:rsidP="006D388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AD107B">
        <w:rPr>
          <w:rFonts w:ascii="Arial" w:hAnsi="Arial" w:cs="Arial"/>
          <w:b/>
          <w:sz w:val="24"/>
          <w:szCs w:val="24"/>
        </w:rPr>
        <w:t>Статья 12. Вступление в силу настоящего Решения</w:t>
      </w:r>
    </w:p>
    <w:p w:rsidR="006D388E" w:rsidRPr="00AD107B" w:rsidRDefault="006D388E" w:rsidP="006D38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107B">
        <w:rPr>
          <w:rFonts w:ascii="Arial" w:hAnsi="Arial" w:cs="Arial"/>
          <w:sz w:val="24"/>
          <w:szCs w:val="24"/>
        </w:rPr>
        <w:t>Настоящее решение вступает в силу с 1 января 20</w:t>
      </w:r>
      <w:r w:rsidR="00870CE8" w:rsidRPr="00AD107B">
        <w:rPr>
          <w:rFonts w:ascii="Arial" w:hAnsi="Arial" w:cs="Arial"/>
          <w:sz w:val="24"/>
          <w:szCs w:val="24"/>
        </w:rPr>
        <w:t>25</w:t>
      </w:r>
      <w:r w:rsidRPr="00AD107B">
        <w:rPr>
          <w:rFonts w:ascii="Arial" w:hAnsi="Arial" w:cs="Arial"/>
          <w:sz w:val="24"/>
          <w:szCs w:val="24"/>
        </w:rPr>
        <w:t xml:space="preserve"> года.</w:t>
      </w:r>
    </w:p>
    <w:p w:rsidR="006D388E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388E" w:rsidRPr="00417633" w:rsidRDefault="006D388E" w:rsidP="006D38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17633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6D388E" w:rsidRPr="008A3DD2" w:rsidRDefault="009C0CDE" w:rsidP="006D388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417633">
        <w:rPr>
          <w:rFonts w:ascii="Arial" w:hAnsi="Arial" w:cs="Arial"/>
          <w:sz w:val="24"/>
          <w:szCs w:val="24"/>
        </w:rPr>
        <w:t>Борковского</w:t>
      </w:r>
      <w:r w:rsidR="006D388E" w:rsidRPr="00417633">
        <w:rPr>
          <w:rFonts w:ascii="Arial" w:hAnsi="Arial" w:cs="Arial"/>
          <w:sz w:val="24"/>
          <w:szCs w:val="24"/>
        </w:rPr>
        <w:t xml:space="preserve"> сельсовета Суджанского района</w:t>
      </w:r>
      <w:r w:rsidR="00417633">
        <w:rPr>
          <w:rFonts w:ascii="Arial" w:hAnsi="Arial" w:cs="Arial"/>
          <w:sz w:val="24"/>
          <w:szCs w:val="24"/>
        </w:rPr>
        <w:tab/>
      </w:r>
      <w:r w:rsidR="00417633">
        <w:rPr>
          <w:rFonts w:ascii="Arial" w:hAnsi="Arial" w:cs="Arial"/>
          <w:sz w:val="24"/>
          <w:szCs w:val="24"/>
        </w:rPr>
        <w:tab/>
      </w:r>
      <w:r w:rsidR="00417633">
        <w:rPr>
          <w:rFonts w:ascii="Arial" w:hAnsi="Arial" w:cs="Arial"/>
          <w:sz w:val="24"/>
          <w:szCs w:val="24"/>
        </w:rPr>
        <w:tab/>
        <w:t>Е.Т.Гайдукова</w:t>
      </w:r>
      <w:r w:rsidR="006D388E" w:rsidRPr="00D722A0">
        <w:rPr>
          <w:rFonts w:ascii="Arial" w:hAnsi="Arial" w:cs="Arial"/>
          <w:sz w:val="24"/>
          <w:szCs w:val="24"/>
          <w:highlight w:val="red"/>
        </w:rPr>
        <w:t xml:space="preserve">                             </w:t>
      </w:r>
    </w:p>
    <w:p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6D388E" w:rsidRDefault="006D388E" w:rsidP="006D388E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A11ED0" w:rsidRPr="00560ED1" w:rsidRDefault="006D388E" w:rsidP="00560ED1">
      <w:pPr>
        <w:tabs>
          <w:tab w:val="left" w:pos="619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="009C0CDE">
        <w:rPr>
          <w:rFonts w:ascii="Arial" w:hAnsi="Arial" w:cs="Arial"/>
          <w:sz w:val="24"/>
          <w:szCs w:val="24"/>
        </w:rPr>
        <w:t>Борковского</w:t>
      </w:r>
      <w:r>
        <w:rPr>
          <w:rFonts w:ascii="Arial" w:hAnsi="Arial" w:cs="Arial"/>
          <w:sz w:val="24"/>
          <w:szCs w:val="24"/>
        </w:rPr>
        <w:t xml:space="preserve"> сельсовета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C0CDE">
        <w:rPr>
          <w:rFonts w:ascii="Arial" w:hAnsi="Arial" w:cs="Arial"/>
          <w:sz w:val="24"/>
          <w:szCs w:val="24"/>
        </w:rPr>
        <w:t>П.И.Беляев</w:t>
      </w:r>
      <w:bookmarkStart w:id="1" w:name="RANGE!A1:E27"/>
      <w:bookmarkEnd w:id="1"/>
    </w:p>
    <w:sectPr w:rsidR="00A11ED0" w:rsidRPr="00560ED1" w:rsidSect="004176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6D388E"/>
    <w:rsid w:val="00002EA8"/>
    <w:rsid w:val="000A36B5"/>
    <w:rsid w:val="000B73A9"/>
    <w:rsid w:val="001041E1"/>
    <w:rsid w:val="00130000"/>
    <w:rsid w:val="00165859"/>
    <w:rsid w:val="00174C30"/>
    <w:rsid w:val="001A08D0"/>
    <w:rsid w:val="001C5128"/>
    <w:rsid w:val="001D6604"/>
    <w:rsid w:val="001F09F7"/>
    <w:rsid w:val="00287F8B"/>
    <w:rsid w:val="00293459"/>
    <w:rsid w:val="002D74F4"/>
    <w:rsid w:val="002F0F11"/>
    <w:rsid w:val="00311105"/>
    <w:rsid w:val="00354ED5"/>
    <w:rsid w:val="00393B13"/>
    <w:rsid w:val="003A63A2"/>
    <w:rsid w:val="003F50CC"/>
    <w:rsid w:val="00417633"/>
    <w:rsid w:val="00444044"/>
    <w:rsid w:val="00560ED1"/>
    <w:rsid w:val="00577C5E"/>
    <w:rsid w:val="00586D6D"/>
    <w:rsid w:val="006710CF"/>
    <w:rsid w:val="006D388E"/>
    <w:rsid w:val="006F12E1"/>
    <w:rsid w:val="007C4EF6"/>
    <w:rsid w:val="007F2310"/>
    <w:rsid w:val="0083414D"/>
    <w:rsid w:val="00870CE8"/>
    <w:rsid w:val="008A3DD2"/>
    <w:rsid w:val="00990202"/>
    <w:rsid w:val="009908D8"/>
    <w:rsid w:val="009C0CDE"/>
    <w:rsid w:val="00A11ED0"/>
    <w:rsid w:val="00A40563"/>
    <w:rsid w:val="00A44606"/>
    <w:rsid w:val="00A90AB0"/>
    <w:rsid w:val="00AD107B"/>
    <w:rsid w:val="00AD76C3"/>
    <w:rsid w:val="00AE13E2"/>
    <w:rsid w:val="00B847CE"/>
    <w:rsid w:val="00BE2979"/>
    <w:rsid w:val="00BE4E72"/>
    <w:rsid w:val="00BF6BC6"/>
    <w:rsid w:val="00C06387"/>
    <w:rsid w:val="00C17825"/>
    <w:rsid w:val="00C21520"/>
    <w:rsid w:val="00C32887"/>
    <w:rsid w:val="00C615C5"/>
    <w:rsid w:val="00C72848"/>
    <w:rsid w:val="00C81B37"/>
    <w:rsid w:val="00D03D37"/>
    <w:rsid w:val="00D722A0"/>
    <w:rsid w:val="00D94E3D"/>
    <w:rsid w:val="00E10D1D"/>
    <w:rsid w:val="00E842BB"/>
    <w:rsid w:val="00E93AB4"/>
    <w:rsid w:val="00EA38E0"/>
    <w:rsid w:val="00F86DE7"/>
    <w:rsid w:val="00F91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8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88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Plain Text"/>
    <w:basedOn w:val="a"/>
    <w:link w:val="a5"/>
    <w:uiPriority w:val="99"/>
    <w:semiHidden/>
    <w:unhideWhenUsed/>
    <w:rsid w:val="006D388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6D388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7"/>
    <w:uiPriority w:val="99"/>
    <w:locked/>
    <w:rsid w:val="006D388E"/>
    <w:rPr>
      <w:rFonts w:ascii="Cambria" w:hAnsi="Cambria"/>
      <w:lang w:val="en-US"/>
    </w:rPr>
  </w:style>
  <w:style w:type="paragraph" w:styleId="a7">
    <w:name w:val="No Spacing"/>
    <w:basedOn w:val="a"/>
    <w:link w:val="a6"/>
    <w:uiPriority w:val="99"/>
    <w:qFormat/>
    <w:rsid w:val="006D388E"/>
    <w:pPr>
      <w:spacing w:after="0" w:line="240" w:lineRule="auto"/>
    </w:pPr>
    <w:rPr>
      <w:rFonts w:ascii="Cambria" w:eastAsiaTheme="minorHAnsi" w:hAnsi="Cambria" w:cstheme="minorBidi"/>
      <w:lang w:val="en-US" w:eastAsia="en-US"/>
    </w:rPr>
  </w:style>
  <w:style w:type="paragraph" w:customStyle="1" w:styleId="ConsPlusNormal">
    <w:name w:val="ConsPlusNormal"/>
    <w:uiPriority w:val="99"/>
    <w:rsid w:val="006D388E"/>
    <w:pPr>
      <w:widowControl w:val="0"/>
      <w:autoSpaceDE w:val="0"/>
      <w:autoSpaceDN w:val="0"/>
      <w:adjustRightInd w:val="0"/>
      <w:spacing w:after="200" w:line="252" w:lineRule="auto"/>
      <w:ind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19752-9AA7-459B-A568-D1DEDA7B8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1675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Sudja Sudjanskiyrn</dc:creator>
  <cp:lastModifiedBy>UserB</cp:lastModifiedBy>
  <cp:revision>4</cp:revision>
  <dcterms:created xsi:type="dcterms:W3CDTF">2025-04-18T07:18:00Z</dcterms:created>
  <dcterms:modified xsi:type="dcterms:W3CDTF">2025-04-18T07:28:00Z</dcterms:modified>
</cp:coreProperties>
</file>