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CA" w:rsidRDefault="004834CA" w:rsidP="00B025CD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bookmarkStart w:id="0" w:name="_Hlk534794779"/>
      <w:r>
        <w:rPr>
          <w:rFonts w:eastAsia="Calibri"/>
          <w:b/>
          <w:bCs/>
          <w:spacing w:val="6"/>
          <w:sz w:val="34"/>
          <w:szCs w:val="34"/>
        </w:rPr>
        <w:t>АДМИНИСТРАЦИЯ</w:t>
      </w:r>
      <w:r>
        <w:rPr>
          <w:rFonts w:eastAsia="Calibri"/>
          <w:b/>
          <w:bCs/>
          <w:spacing w:val="6"/>
          <w:sz w:val="34"/>
          <w:szCs w:val="34"/>
        </w:rPr>
        <w:br/>
        <w:t>БОРКОВСКОГО СЕЛЬСОВЕТА</w:t>
      </w:r>
    </w:p>
    <w:p w:rsidR="00005149" w:rsidRDefault="00005149" w:rsidP="00B025CD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>СУДЖАНСКОГО РАЙОНА</w:t>
      </w:r>
    </w:p>
    <w:p w:rsidR="00005149" w:rsidRPr="002463BA" w:rsidRDefault="00005149" w:rsidP="00B025CD">
      <w:pPr>
        <w:autoSpaceDN w:val="0"/>
        <w:jc w:val="center"/>
        <w:rPr>
          <w:sz w:val="28"/>
          <w:lang w:eastAsia="zh-CN"/>
        </w:rPr>
      </w:pPr>
      <w:r w:rsidRPr="002463BA">
        <w:rPr>
          <w:rFonts w:eastAsia="Calibri"/>
          <w:b/>
          <w:spacing w:val="6"/>
          <w:sz w:val="34"/>
          <w:szCs w:val="34"/>
        </w:rPr>
        <w:t>КУРСКОЙ  ОБЛАСТИ</w:t>
      </w:r>
    </w:p>
    <w:p w:rsidR="00005149" w:rsidRPr="002463BA" w:rsidRDefault="00005149" w:rsidP="004834CA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005149" w:rsidRPr="002463BA" w:rsidRDefault="00005149" w:rsidP="00005149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05149" w:rsidRPr="002463BA" w:rsidRDefault="00005149" w:rsidP="00005149">
      <w:pPr>
        <w:autoSpaceDN w:val="0"/>
        <w:jc w:val="center"/>
        <w:rPr>
          <w:sz w:val="16"/>
          <w:szCs w:val="16"/>
          <w:lang w:eastAsia="zh-CN"/>
        </w:rPr>
      </w:pPr>
    </w:p>
    <w:p w:rsidR="00005149" w:rsidRDefault="00005149" w:rsidP="00005149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 xml:space="preserve">от </w:t>
      </w:r>
      <w:r w:rsidR="004834CA">
        <w:rPr>
          <w:sz w:val="26"/>
          <w:szCs w:val="26"/>
        </w:rPr>
        <w:t xml:space="preserve">11.11.2021 г. </w:t>
      </w:r>
      <w:r w:rsidRPr="002463BA">
        <w:rPr>
          <w:sz w:val="26"/>
          <w:szCs w:val="26"/>
        </w:rPr>
        <w:t xml:space="preserve">  № </w:t>
      </w:r>
      <w:r w:rsidR="004834CA">
        <w:rPr>
          <w:sz w:val="26"/>
          <w:szCs w:val="26"/>
        </w:rPr>
        <w:t>6</w:t>
      </w:r>
      <w:r w:rsidR="001955BF">
        <w:rPr>
          <w:sz w:val="26"/>
          <w:szCs w:val="26"/>
        </w:rPr>
        <w:t>1</w:t>
      </w:r>
    </w:p>
    <w:p w:rsidR="004834CA" w:rsidRDefault="004834CA" w:rsidP="00005149">
      <w:pPr>
        <w:jc w:val="center"/>
        <w:rPr>
          <w:sz w:val="26"/>
          <w:szCs w:val="26"/>
        </w:rPr>
      </w:pPr>
    </w:p>
    <w:p w:rsidR="004834CA" w:rsidRDefault="004834CA" w:rsidP="00005149">
      <w:pPr>
        <w:jc w:val="center"/>
        <w:rPr>
          <w:sz w:val="26"/>
          <w:szCs w:val="26"/>
        </w:rPr>
      </w:pPr>
    </w:p>
    <w:p w:rsidR="004834CA" w:rsidRDefault="004834CA" w:rsidP="00005149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методики планирования бюджета МО «Борковский сельсовет» на 2022 год и плановый период 2023-2024 годов</w:t>
      </w:r>
    </w:p>
    <w:p w:rsidR="004834CA" w:rsidRDefault="004834CA" w:rsidP="00005149">
      <w:pPr>
        <w:jc w:val="center"/>
        <w:rPr>
          <w:sz w:val="26"/>
          <w:szCs w:val="26"/>
        </w:rPr>
      </w:pPr>
    </w:p>
    <w:p w:rsidR="004834CA" w:rsidRDefault="004834CA" w:rsidP="00B025CD">
      <w:pPr>
        <w:rPr>
          <w:sz w:val="26"/>
          <w:szCs w:val="26"/>
        </w:rPr>
      </w:pPr>
      <w:r>
        <w:rPr>
          <w:sz w:val="26"/>
          <w:szCs w:val="26"/>
        </w:rPr>
        <w:t>В соответствии со статьей 174.2 Бюджетного кодекса Российской Федерации, Законом Курской области от 18.06.2003 г. № 33-ЗКО «О бюджетном процессе</w:t>
      </w:r>
      <w:r w:rsidR="003A317C">
        <w:rPr>
          <w:sz w:val="26"/>
          <w:szCs w:val="26"/>
        </w:rPr>
        <w:t xml:space="preserve"> в Курской области»(в ред. Закона Курской области от 23.08.2011 № 57-ЗКО), решения Собрания депутатов Борковского сельсовета Суджанского района от  10.06.2021 № 15 «Поло</w:t>
      </w:r>
      <w:r w:rsidR="00B025CD">
        <w:rPr>
          <w:sz w:val="26"/>
          <w:szCs w:val="26"/>
        </w:rPr>
        <w:t>ж</w:t>
      </w:r>
      <w:r w:rsidR="003A317C">
        <w:rPr>
          <w:sz w:val="26"/>
          <w:szCs w:val="26"/>
        </w:rPr>
        <w:t>ение о бюджетном процессе в муниципальном образовании «Борковский сельсовет» Суджанского района Курской области» Администрация Борковского сельсовета Суджанского района Курской области ПОСТАНОВЛЯЕТ:</w:t>
      </w:r>
    </w:p>
    <w:p w:rsidR="003A317C" w:rsidRDefault="003A317C" w:rsidP="00B025CD">
      <w:pPr>
        <w:pStyle w:val="a4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Утвердить Методику формирования бюджета муниципального образования «Борковский сельсовет» Суджанского района Курской области на 2022 год и плановый период 2023-2024 годов, согласно приложения.</w:t>
      </w:r>
    </w:p>
    <w:p w:rsidR="003A317C" w:rsidRDefault="00B025CD" w:rsidP="00B025CD">
      <w:pPr>
        <w:pStyle w:val="a4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Контроль за исполнением оставляю за собой.</w:t>
      </w:r>
    </w:p>
    <w:p w:rsidR="00B025CD" w:rsidRDefault="00B025CD" w:rsidP="00B025CD">
      <w:pPr>
        <w:pStyle w:val="a4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подписания.</w:t>
      </w:r>
    </w:p>
    <w:p w:rsidR="00B025CD" w:rsidRDefault="00B025CD" w:rsidP="00B025CD">
      <w:pPr>
        <w:rPr>
          <w:sz w:val="26"/>
          <w:szCs w:val="26"/>
        </w:rPr>
      </w:pPr>
    </w:p>
    <w:p w:rsidR="00B025CD" w:rsidRDefault="00B025CD" w:rsidP="00B025CD">
      <w:pPr>
        <w:rPr>
          <w:sz w:val="26"/>
          <w:szCs w:val="26"/>
        </w:rPr>
      </w:pPr>
    </w:p>
    <w:p w:rsidR="00B025CD" w:rsidRDefault="00B025CD" w:rsidP="00B025CD">
      <w:pPr>
        <w:rPr>
          <w:sz w:val="26"/>
          <w:szCs w:val="26"/>
        </w:rPr>
      </w:pPr>
    </w:p>
    <w:p w:rsidR="00B025CD" w:rsidRPr="00B025CD" w:rsidRDefault="00B025CD" w:rsidP="00B025CD">
      <w:pPr>
        <w:rPr>
          <w:sz w:val="26"/>
          <w:szCs w:val="26"/>
        </w:rPr>
      </w:pPr>
      <w:r>
        <w:rPr>
          <w:sz w:val="26"/>
          <w:szCs w:val="26"/>
        </w:rPr>
        <w:t xml:space="preserve">Глава Борковского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П.И.Беляев</w:t>
      </w:r>
    </w:p>
    <w:p w:rsidR="00005149" w:rsidRDefault="00005149" w:rsidP="00B025CD">
      <w:pPr>
        <w:rPr>
          <w:sz w:val="28"/>
          <w:szCs w:val="24"/>
        </w:rPr>
      </w:pPr>
    </w:p>
    <w:p w:rsidR="00005149" w:rsidRDefault="00005149" w:rsidP="00B025CD">
      <w:pPr>
        <w:rPr>
          <w:sz w:val="24"/>
          <w:szCs w:val="24"/>
        </w:rPr>
      </w:pPr>
    </w:p>
    <w:p w:rsidR="00005149" w:rsidRDefault="00005149" w:rsidP="00B025CD">
      <w:pPr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005149" w:rsidRDefault="00005149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p w:rsidR="00B025CD" w:rsidRDefault="00B025CD" w:rsidP="00005149">
      <w:pPr>
        <w:jc w:val="both"/>
        <w:rPr>
          <w:sz w:val="24"/>
          <w:szCs w:val="24"/>
        </w:rPr>
      </w:pPr>
    </w:p>
    <w:bookmarkEnd w:id="0"/>
    <w:p w:rsidR="009F4261" w:rsidRDefault="009F4261" w:rsidP="0004171A">
      <w:pPr>
        <w:autoSpaceDN w:val="0"/>
        <w:rPr>
          <w:lang w:eastAsia="zh-CN"/>
        </w:rPr>
      </w:pPr>
    </w:p>
    <w:p w:rsidR="00A70E3D" w:rsidRPr="007C04FE" w:rsidRDefault="00A70E3D" w:rsidP="00A70E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7C04FE">
        <w:rPr>
          <w:sz w:val="28"/>
          <w:szCs w:val="28"/>
        </w:rPr>
        <w:t xml:space="preserve">Утверждена </w:t>
      </w:r>
    </w:p>
    <w:p w:rsidR="00A70E3D" w:rsidRPr="007C04FE" w:rsidRDefault="00A70E3D" w:rsidP="00A70E3D">
      <w:pPr>
        <w:jc w:val="both"/>
        <w:rPr>
          <w:sz w:val="28"/>
          <w:szCs w:val="28"/>
        </w:rPr>
      </w:pPr>
      <w:r w:rsidRPr="007C04FE">
        <w:rPr>
          <w:sz w:val="28"/>
          <w:szCs w:val="28"/>
        </w:rPr>
        <w:t xml:space="preserve">                                                                 Постановлением главы администрации                 </w:t>
      </w:r>
    </w:p>
    <w:p w:rsidR="00A70E3D" w:rsidRPr="007C04FE" w:rsidRDefault="00A70E3D" w:rsidP="00A70E3D">
      <w:pPr>
        <w:jc w:val="both"/>
        <w:rPr>
          <w:sz w:val="28"/>
          <w:szCs w:val="28"/>
        </w:rPr>
      </w:pPr>
      <w:r w:rsidRPr="007C04FE">
        <w:rPr>
          <w:sz w:val="28"/>
          <w:szCs w:val="28"/>
        </w:rPr>
        <w:t xml:space="preserve">                                                                             Борковского сельсовета </w:t>
      </w:r>
    </w:p>
    <w:p w:rsidR="00A70E3D" w:rsidRPr="007C04FE" w:rsidRDefault="00A70E3D" w:rsidP="00A70E3D">
      <w:pPr>
        <w:jc w:val="both"/>
        <w:rPr>
          <w:sz w:val="28"/>
          <w:szCs w:val="28"/>
        </w:rPr>
      </w:pPr>
      <w:r w:rsidRPr="007C04FE">
        <w:rPr>
          <w:sz w:val="28"/>
          <w:szCs w:val="28"/>
        </w:rPr>
        <w:t xml:space="preserve">                                                                                Суджанского района </w:t>
      </w:r>
    </w:p>
    <w:p w:rsidR="00A70E3D" w:rsidRPr="007C04FE" w:rsidRDefault="00A70E3D" w:rsidP="00A70E3D">
      <w:pPr>
        <w:rPr>
          <w:sz w:val="28"/>
          <w:szCs w:val="28"/>
        </w:rPr>
      </w:pPr>
      <w:r w:rsidRPr="007C04FE">
        <w:rPr>
          <w:sz w:val="28"/>
          <w:szCs w:val="28"/>
        </w:rPr>
        <w:t xml:space="preserve">                                                               Курской области </w:t>
      </w:r>
    </w:p>
    <w:p w:rsidR="00A70E3D" w:rsidRPr="007C04FE" w:rsidRDefault="00A70E3D" w:rsidP="00A70E3D">
      <w:pPr>
        <w:rPr>
          <w:sz w:val="28"/>
          <w:szCs w:val="28"/>
        </w:rPr>
      </w:pPr>
    </w:p>
    <w:p w:rsidR="00A70E3D" w:rsidRDefault="00A70E3D" w:rsidP="00A70E3D">
      <w:pPr>
        <w:rPr>
          <w:sz w:val="28"/>
          <w:szCs w:val="28"/>
        </w:rPr>
      </w:pPr>
      <w:r w:rsidRPr="007C04FE">
        <w:rPr>
          <w:sz w:val="28"/>
          <w:szCs w:val="28"/>
        </w:rPr>
        <w:t xml:space="preserve">                                                                </w:t>
      </w:r>
      <w:r w:rsidRPr="00742D9C">
        <w:rPr>
          <w:sz w:val="28"/>
          <w:szCs w:val="28"/>
        </w:rPr>
        <w:t>От 11.11.2021 г. № 61</w:t>
      </w:r>
    </w:p>
    <w:p w:rsidR="00A70E3D" w:rsidRDefault="00A70E3D" w:rsidP="00A70E3D">
      <w:pPr>
        <w:rPr>
          <w:sz w:val="28"/>
          <w:szCs w:val="28"/>
        </w:rPr>
      </w:pPr>
    </w:p>
    <w:p w:rsidR="00A70E3D" w:rsidRDefault="00A70E3D" w:rsidP="00A70E3D">
      <w:pPr>
        <w:rPr>
          <w:sz w:val="28"/>
          <w:szCs w:val="28"/>
        </w:rPr>
      </w:pPr>
    </w:p>
    <w:p w:rsidR="00A70E3D" w:rsidRPr="00694832" w:rsidRDefault="00A70E3D" w:rsidP="00A70E3D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6948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</w:t>
      </w:r>
      <w:r w:rsidRPr="00694832">
        <w:rPr>
          <w:b/>
          <w:sz w:val="28"/>
          <w:szCs w:val="28"/>
        </w:rPr>
        <w:t>Методика</w:t>
      </w:r>
    </w:p>
    <w:p w:rsidR="00A70E3D" w:rsidRPr="00FF2C02" w:rsidRDefault="00A70E3D" w:rsidP="00A70E3D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Планирования бюджетных ассигнований Борковского сельсовета на 2022 год </w:t>
      </w:r>
      <w:r w:rsidRPr="00903A21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23</w:t>
      </w:r>
      <w:r w:rsidRPr="00903A21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903A21">
        <w:rPr>
          <w:b/>
          <w:sz w:val="28"/>
          <w:szCs w:val="28"/>
        </w:rPr>
        <w:t xml:space="preserve"> годов</w:t>
      </w:r>
    </w:p>
    <w:p w:rsidR="00A70E3D" w:rsidRDefault="00A70E3D" w:rsidP="00A70E3D">
      <w:pPr>
        <w:shd w:val="clear" w:color="auto" w:fill="FFFFFF"/>
        <w:ind w:right="-1"/>
        <w:jc w:val="both"/>
        <w:rPr>
          <w:b/>
          <w:bCs/>
          <w:color w:val="000000"/>
          <w:spacing w:val="-15"/>
          <w:sz w:val="32"/>
          <w:szCs w:val="32"/>
        </w:rPr>
      </w:pPr>
    </w:p>
    <w:p w:rsidR="00A70E3D" w:rsidRDefault="00A70E3D" w:rsidP="00A70E3D">
      <w:pPr>
        <w:shd w:val="clear" w:color="auto" w:fill="FFFFFF"/>
        <w:spacing w:line="276" w:lineRule="auto"/>
        <w:ind w:right="-1"/>
        <w:jc w:val="both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32"/>
          <w:szCs w:val="32"/>
        </w:rPr>
        <w:t xml:space="preserve">           </w:t>
      </w:r>
      <w:r w:rsidRPr="00FF2C02">
        <w:rPr>
          <w:bCs/>
          <w:color w:val="000000"/>
          <w:spacing w:val="-15"/>
          <w:sz w:val="28"/>
          <w:szCs w:val="28"/>
        </w:rPr>
        <w:t>Настоящий Порядок</w:t>
      </w:r>
      <w:r>
        <w:rPr>
          <w:bCs/>
          <w:color w:val="000000"/>
          <w:spacing w:val="-15"/>
          <w:sz w:val="28"/>
          <w:szCs w:val="28"/>
        </w:rPr>
        <w:t xml:space="preserve"> </w:t>
      </w:r>
      <w:r w:rsidRPr="00FF2C02">
        <w:rPr>
          <w:bCs/>
          <w:color w:val="000000"/>
          <w:spacing w:val="-15"/>
          <w:sz w:val="28"/>
          <w:szCs w:val="28"/>
        </w:rPr>
        <w:t xml:space="preserve">планирования бюджетных ассигнований </w:t>
      </w:r>
      <w:r>
        <w:rPr>
          <w:bCs/>
          <w:color w:val="000000"/>
          <w:spacing w:val="-15"/>
          <w:sz w:val="28"/>
          <w:szCs w:val="28"/>
        </w:rPr>
        <w:t>местного</w:t>
      </w:r>
      <w:r w:rsidRPr="00FF2C02">
        <w:rPr>
          <w:bCs/>
          <w:color w:val="000000"/>
          <w:spacing w:val="-15"/>
          <w:sz w:val="28"/>
          <w:szCs w:val="28"/>
        </w:rPr>
        <w:t xml:space="preserve"> бюджета на очередной финансовый год и на пл</w:t>
      </w:r>
      <w:r>
        <w:rPr>
          <w:bCs/>
          <w:color w:val="000000"/>
          <w:spacing w:val="-15"/>
          <w:sz w:val="28"/>
          <w:szCs w:val="28"/>
        </w:rPr>
        <w:t xml:space="preserve">ановый период </w:t>
      </w:r>
      <w:r w:rsidRPr="00FF2C02">
        <w:rPr>
          <w:bCs/>
          <w:color w:val="000000"/>
          <w:spacing w:val="-15"/>
          <w:sz w:val="28"/>
          <w:szCs w:val="28"/>
        </w:rPr>
        <w:t>разработан в соответствии со статьями 169 и 174.2 Бюджетного кодекса Российской Федерации, с частью 1 статьи 15</w:t>
      </w:r>
      <w:r w:rsidRPr="005C1967">
        <w:rPr>
          <w:bCs/>
          <w:color w:val="FF0000"/>
          <w:spacing w:val="-15"/>
          <w:sz w:val="28"/>
          <w:szCs w:val="28"/>
        </w:rPr>
        <w:t xml:space="preserve"> </w:t>
      </w:r>
      <w:r w:rsidRPr="00C975FA">
        <w:rPr>
          <w:bCs/>
          <w:color w:val="000000"/>
          <w:spacing w:val="-15"/>
          <w:sz w:val="28"/>
          <w:szCs w:val="28"/>
        </w:rPr>
        <w:t>Решение Собрание депутатов Борковского сельсовета № 1</w:t>
      </w:r>
      <w:r>
        <w:rPr>
          <w:bCs/>
          <w:color w:val="000000"/>
          <w:spacing w:val="-15"/>
          <w:sz w:val="28"/>
          <w:szCs w:val="28"/>
        </w:rPr>
        <w:t xml:space="preserve">5 </w:t>
      </w:r>
      <w:r w:rsidRPr="00C975FA">
        <w:rPr>
          <w:bCs/>
          <w:color w:val="000000"/>
          <w:spacing w:val="-15"/>
          <w:sz w:val="28"/>
          <w:szCs w:val="28"/>
        </w:rPr>
        <w:t>от 1</w:t>
      </w:r>
      <w:r>
        <w:rPr>
          <w:bCs/>
          <w:color w:val="000000"/>
          <w:spacing w:val="-15"/>
          <w:sz w:val="28"/>
          <w:szCs w:val="28"/>
        </w:rPr>
        <w:t>0</w:t>
      </w:r>
      <w:r w:rsidRPr="00C975FA">
        <w:rPr>
          <w:bCs/>
          <w:color w:val="000000"/>
          <w:spacing w:val="-15"/>
          <w:sz w:val="28"/>
          <w:szCs w:val="28"/>
        </w:rPr>
        <w:t>.0</w:t>
      </w:r>
      <w:r>
        <w:rPr>
          <w:bCs/>
          <w:color w:val="000000"/>
          <w:spacing w:val="-15"/>
          <w:sz w:val="28"/>
          <w:szCs w:val="28"/>
        </w:rPr>
        <w:t>6</w:t>
      </w:r>
      <w:r w:rsidRPr="00C975FA">
        <w:rPr>
          <w:bCs/>
          <w:color w:val="000000"/>
          <w:spacing w:val="-15"/>
          <w:sz w:val="28"/>
          <w:szCs w:val="28"/>
        </w:rPr>
        <w:t>.20</w:t>
      </w:r>
      <w:r>
        <w:rPr>
          <w:bCs/>
          <w:color w:val="000000"/>
          <w:spacing w:val="-15"/>
          <w:sz w:val="28"/>
          <w:szCs w:val="28"/>
        </w:rPr>
        <w:t>21</w:t>
      </w:r>
      <w:r w:rsidRPr="00C975FA">
        <w:rPr>
          <w:bCs/>
          <w:color w:val="000000"/>
          <w:spacing w:val="-15"/>
          <w:sz w:val="28"/>
          <w:szCs w:val="28"/>
        </w:rPr>
        <w:t>г. «О бюджетном процессе в муниципальном образовании «Борковский сельсовет» Суджанского района Курской области».</w:t>
      </w:r>
    </w:p>
    <w:p w:rsidR="00A70E3D" w:rsidRPr="007B09AD" w:rsidRDefault="00A70E3D" w:rsidP="00A70E3D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09AD">
        <w:rPr>
          <w:sz w:val="28"/>
          <w:szCs w:val="28"/>
        </w:rPr>
        <w:t>Планирование объемов на 20</w:t>
      </w:r>
      <w:r>
        <w:rPr>
          <w:sz w:val="28"/>
          <w:szCs w:val="28"/>
        </w:rPr>
        <w:t>22</w:t>
      </w:r>
      <w:r w:rsidRPr="007B09A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23</w:t>
      </w:r>
      <w:r w:rsidRPr="007B09AD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B09AD">
        <w:rPr>
          <w:sz w:val="28"/>
          <w:szCs w:val="28"/>
        </w:rPr>
        <w:t xml:space="preserve"> годов осуществляется в рамках </w:t>
      </w:r>
      <w:r>
        <w:rPr>
          <w:sz w:val="28"/>
          <w:szCs w:val="28"/>
        </w:rPr>
        <w:t xml:space="preserve">муниципальных </w:t>
      </w:r>
      <w:r w:rsidRPr="007B09AD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Борковского сельсовета Суджанского района </w:t>
      </w:r>
      <w:r w:rsidRPr="007B09AD">
        <w:rPr>
          <w:sz w:val="28"/>
          <w:szCs w:val="28"/>
        </w:rPr>
        <w:t>Курской области и непрограммных мероприятий.</w:t>
      </w:r>
    </w:p>
    <w:p w:rsidR="00A70E3D" w:rsidRPr="007B09AD" w:rsidRDefault="00A70E3D" w:rsidP="00A70E3D">
      <w:pPr>
        <w:ind w:right="57"/>
        <w:jc w:val="both"/>
        <w:rPr>
          <w:sz w:val="28"/>
          <w:szCs w:val="28"/>
        </w:rPr>
      </w:pPr>
    </w:p>
    <w:p w:rsidR="00A70E3D" w:rsidRPr="00C975FA" w:rsidRDefault="00A70E3D" w:rsidP="00A70E3D">
      <w:pPr>
        <w:ind w:right="57"/>
        <w:jc w:val="both"/>
        <w:rPr>
          <w:color w:val="000000"/>
          <w:sz w:val="28"/>
          <w:szCs w:val="28"/>
        </w:rPr>
      </w:pPr>
      <w:r w:rsidRPr="0013199F">
        <w:rPr>
          <w:sz w:val="28"/>
          <w:szCs w:val="28"/>
        </w:rPr>
        <w:t>Формирование объема и структуры расходов местного бюджета на 20</w:t>
      </w:r>
      <w:r>
        <w:rPr>
          <w:sz w:val="28"/>
          <w:szCs w:val="28"/>
        </w:rPr>
        <w:t>22</w:t>
      </w:r>
      <w:r w:rsidRPr="0013199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13199F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13199F">
        <w:rPr>
          <w:sz w:val="28"/>
          <w:szCs w:val="28"/>
        </w:rPr>
        <w:t xml:space="preserve"> годов осуществляется исходя из «базовых» объемов бюджетных ассигнований на 20</w:t>
      </w:r>
      <w:r>
        <w:rPr>
          <w:sz w:val="28"/>
          <w:szCs w:val="28"/>
        </w:rPr>
        <w:t>21</w:t>
      </w:r>
      <w:r w:rsidRPr="0013199F">
        <w:rPr>
          <w:sz w:val="28"/>
          <w:szCs w:val="28"/>
        </w:rPr>
        <w:t xml:space="preserve"> год на основании</w:t>
      </w:r>
      <w:r w:rsidRPr="005C1967">
        <w:rPr>
          <w:color w:val="FF0000"/>
          <w:sz w:val="28"/>
          <w:szCs w:val="28"/>
        </w:rPr>
        <w:t xml:space="preserve"> </w:t>
      </w:r>
      <w:r w:rsidRPr="00C975FA">
        <w:rPr>
          <w:color w:val="000000"/>
          <w:sz w:val="28"/>
          <w:szCs w:val="28"/>
        </w:rPr>
        <w:t>проекта областного закона «Об областном бюджете на 20</w:t>
      </w:r>
      <w:r>
        <w:rPr>
          <w:color w:val="000000"/>
          <w:sz w:val="28"/>
          <w:szCs w:val="28"/>
        </w:rPr>
        <w:t>22</w:t>
      </w:r>
      <w:r w:rsidRPr="00C975FA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C975FA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C975FA">
        <w:rPr>
          <w:color w:val="000000"/>
          <w:sz w:val="28"/>
          <w:szCs w:val="28"/>
        </w:rPr>
        <w:t xml:space="preserve"> годов».</w:t>
      </w:r>
    </w:p>
    <w:p w:rsidR="00A70E3D" w:rsidRPr="00426EB2" w:rsidRDefault="00A70E3D" w:rsidP="00A70E3D">
      <w:pPr>
        <w:shd w:val="clear" w:color="auto" w:fill="FFFFFF"/>
        <w:ind w:right="-1" w:firstLine="720"/>
        <w:jc w:val="both"/>
        <w:rPr>
          <w:b/>
          <w:bCs/>
          <w:color w:val="000000"/>
          <w:spacing w:val="-15"/>
          <w:sz w:val="32"/>
          <w:szCs w:val="32"/>
        </w:rPr>
      </w:pPr>
    </w:p>
    <w:p w:rsidR="00A70E3D" w:rsidRDefault="00A70E3D" w:rsidP="00A70E3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Планирование расходов местного</w:t>
      </w:r>
      <w:r w:rsidRPr="00A06E2A">
        <w:rPr>
          <w:sz w:val="28"/>
          <w:szCs w:val="28"/>
        </w:rPr>
        <w:t xml:space="preserve"> бюджета на:</w:t>
      </w:r>
    </w:p>
    <w:p w:rsidR="00A70E3D" w:rsidRPr="00A06E2A" w:rsidRDefault="00A70E3D" w:rsidP="00A70E3D">
      <w:pPr>
        <w:ind w:firstLine="720"/>
        <w:jc w:val="both"/>
        <w:rPr>
          <w:sz w:val="28"/>
          <w:szCs w:val="28"/>
        </w:rPr>
      </w:pPr>
    </w:p>
    <w:p w:rsidR="00A70E3D" w:rsidRPr="00B26B6B" w:rsidRDefault="00A70E3D" w:rsidP="00A7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26B6B">
        <w:rPr>
          <w:sz w:val="28"/>
          <w:szCs w:val="28"/>
        </w:rPr>
        <w:t xml:space="preserve">оплату труда работников органов </w:t>
      </w:r>
      <w:r>
        <w:rPr>
          <w:sz w:val="28"/>
          <w:szCs w:val="28"/>
        </w:rPr>
        <w:t>муниципальной власти</w:t>
      </w:r>
      <w:r w:rsidRPr="00B26B6B">
        <w:rPr>
          <w:sz w:val="28"/>
          <w:szCs w:val="28"/>
        </w:rPr>
        <w:t xml:space="preserve"> осуществлялось исходя из утвержденных стру</w:t>
      </w:r>
      <w:r>
        <w:rPr>
          <w:sz w:val="28"/>
          <w:szCs w:val="28"/>
        </w:rPr>
        <w:t>ктур, действующих на 1 октября 2021</w:t>
      </w:r>
      <w:r w:rsidRPr="00B26B6B">
        <w:rPr>
          <w:sz w:val="28"/>
          <w:szCs w:val="28"/>
        </w:rPr>
        <w:t xml:space="preserve"> года, и нормативных актов </w:t>
      </w:r>
      <w:r>
        <w:rPr>
          <w:sz w:val="28"/>
          <w:szCs w:val="28"/>
        </w:rPr>
        <w:t xml:space="preserve">Борковского сельсовета Суджанского района </w:t>
      </w:r>
      <w:r w:rsidRPr="00B26B6B">
        <w:rPr>
          <w:sz w:val="28"/>
          <w:szCs w:val="28"/>
        </w:rPr>
        <w:t>Курской области, регулирующих оплату труда;</w:t>
      </w:r>
    </w:p>
    <w:p w:rsidR="00A70E3D" w:rsidRDefault="00A70E3D" w:rsidP="00A70E3D">
      <w:pPr>
        <w:ind w:firstLine="720"/>
        <w:jc w:val="both"/>
        <w:rPr>
          <w:sz w:val="28"/>
          <w:szCs w:val="28"/>
        </w:rPr>
      </w:pPr>
    </w:p>
    <w:p w:rsidR="00A70E3D" w:rsidRPr="00A06E2A" w:rsidRDefault="00A70E3D" w:rsidP="00A70E3D">
      <w:pPr>
        <w:ind w:firstLine="720"/>
        <w:jc w:val="both"/>
        <w:rPr>
          <w:sz w:val="28"/>
          <w:szCs w:val="28"/>
        </w:rPr>
      </w:pPr>
      <w:r w:rsidRPr="00A06E2A">
        <w:rPr>
          <w:sz w:val="28"/>
          <w:szCs w:val="28"/>
        </w:rPr>
        <w:t>2) текущее содержание органов</w:t>
      </w:r>
      <w:r>
        <w:rPr>
          <w:sz w:val="28"/>
          <w:szCs w:val="28"/>
        </w:rPr>
        <w:t xml:space="preserve"> местного самоуправления муниципального образования </w:t>
      </w:r>
      <w:r w:rsidRPr="00A06E2A">
        <w:rPr>
          <w:sz w:val="28"/>
          <w:szCs w:val="28"/>
        </w:rPr>
        <w:t>исходя их общих подходов к расчету бюджетных проектировок, а также установленн</w:t>
      </w:r>
      <w:r>
        <w:rPr>
          <w:sz w:val="28"/>
          <w:szCs w:val="28"/>
        </w:rPr>
        <w:t>ого</w:t>
      </w:r>
      <w:r w:rsidRPr="00A06E2A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муниципального образования</w:t>
      </w:r>
      <w:r w:rsidRPr="00A06E2A">
        <w:rPr>
          <w:sz w:val="28"/>
          <w:szCs w:val="28"/>
        </w:rPr>
        <w:t xml:space="preserve"> нормативов формирования расходов на содержание органов </w:t>
      </w:r>
      <w:r>
        <w:rPr>
          <w:sz w:val="28"/>
          <w:szCs w:val="28"/>
        </w:rPr>
        <w:t>местного самоуправления муниципального образования;</w:t>
      </w:r>
    </w:p>
    <w:p w:rsidR="00A70E3D" w:rsidRDefault="00A70E3D" w:rsidP="00A70E3D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A70E3D" w:rsidRDefault="00A70E3D" w:rsidP="00A70E3D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A70E3D" w:rsidRPr="00B26B6B" w:rsidRDefault="00A70E3D" w:rsidP="00A70E3D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местного бюджета на 2022</w:t>
      </w:r>
      <w:r w:rsidRPr="00B26B6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2023 и 2024 годов </w:t>
      </w:r>
      <w:r w:rsidRPr="00B26B6B">
        <w:rPr>
          <w:sz w:val="28"/>
          <w:szCs w:val="28"/>
        </w:rPr>
        <w:t>применены общие подходы к расчету бюджетных проектировок:</w:t>
      </w:r>
    </w:p>
    <w:p w:rsidR="00A70E3D" w:rsidRPr="00B26B6B" w:rsidRDefault="00A70E3D" w:rsidP="00A70E3D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  <w:r w:rsidRPr="00B26B6B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A70E3D" w:rsidRDefault="00A70E3D" w:rsidP="00A70E3D">
      <w:pPr>
        <w:tabs>
          <w:tab w:val="left" w:pos="345"/>
          <w:tab w:val="center" w:pos="4677"/>
        </w:tabs>
        <w:ind w:firstLine="720"/>
        <w:jc w:val="both"/>
        <w:rPr>
          <w:sz w:val="28"/>
          <w:szCs w:val="28"/>
        </w:rPr>
      </w:pPr>
    </w:p>
    <w:p w:rsidR="00A70E3D" w:rsidRPr="00B26B6B" w:rsidRDefault="00A70E3D" w:rsidP="00A7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26B6B">
        <w:rPr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>
        <w:rPr>
          <w:sz w:val="28"/>
          <w:szCs w:val="28"/>
        </w:rPr>
        <w:t>област</w:t>
      </w:r>
      <w:r w:rsidRPr="00B26B6B">
        <w:rPr>
          <w:sz w:val="28"/>
          <w:szCs w:val="28"/>
        </w:rPr>
        <w:t>ного бюджета в виде целевых субвенций и субсидий, предусматриваются в объемах, отраженных в проекте закон</w:t>
      </w:r>
      <w:r>
        <w:rPr>
          <w:sz w:val="28"/>
          <w:szCs w:val="28"/>
        </w:rPr>
        <w:t>а Курской области «Об областном бюджете на 2022</w:t>
      </w:r>
      <w:r w:rsidRPr="00B26B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B26B6B">
        <w:rPr>
          <w:sz w:val="28"/>
          <w:szCs w:val="28"/>
        </w:rPr>
        <w:t>» на момент формирования областного бюджета;</w:t>
      </w:r>
    </w:p>
    <w:p w:rsidR="00A70E3D" w:rsidRPr="00B26B6B" w:rsidRDefault="00A70E3D" w:rsidP="00A70E3D">
      <w:pPr>
        <w:ind w:firstLine="720"/>
        <w:jc w:val="both"/>
        <w:rPr>
          <w:sz w:val="28"/>
          <w:szCs w:val="28"/>
        </w:rPr>
      </w:pPr>
    </w:p>
    <w:p w:rsidR="00A70E3D" w:rsidRPr="00A06E2A" w:rsidRDefault="00A70E3D" w:rsidP="00A7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6E2A">
        <w:rPr>
          <w:sz w:val="28"/>
          <w:szCs w:val="28"/>
        </w:rPr>
        <w:t xml:space="preserve">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закона </w:t>
      </w:r>
      <w:r>
        <w:rPr>
          <w:sz w:val="28"/>
          <w:szCs w:val="28"/>
        </w:rPr>
        <w:t xml:space="preserve">Курской области </w:t>
      </w:r>
      <w:r w:rsidRPr="00A06E2A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A06E2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 бюджете на 2022 год и на плановый период 2023 и 2024</w:t>
      </w:r>
      <w:r w:rsidRPr="00A06E2A">
        <w:rPr>
          <w:sz w:val="28"/>
          <w:szCs w:val="28"/>
        </w:rPr>
        <w:t xml:space="preserve"> годов» на момент формирования областного бюджета;</w:t>
      </w:r>
    </w:p>
    <w:p w:rsidR="00A70E3D" w:rsidRDefault="00A70E3D" w:rsidP="00A70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6E2A">
        <w:rPr>
          <w:sz w:val="28"/>
          <w:szCs w:val="28"/>
        </w:rPr>
        <w:t>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</w:t>
      </w:r>
      <w:r>
        <w:rPr>
          <w:sz w:val="28"/>
          <w:szCs w:val="28"/>
        </w:rPr>
        <w:t>, а также реализация мероприятий утвержденных Указом президента РФ от 07.05.2018 № 204</w:t>
      </w:r>
    </w:p>
    <w:p w:rsidR="00A70E3D" w:rsidRPr="00045A69" w:rsidRDefault="00A70E3D" w:rsidP="00A70E3D">
      <w:pPr>
        <w:ind w:firstLine="720"/>
        <w:jc w:val="both"/>
        <w:rPr>
          <w:color w:val="FF0000"/>
          <w:sz w:val="28"/>
          <w:szCs w:val="28"/>
        </w:rPr>
      </w:pPr>
    </w:p>
    <w:p w:rsidR="00A70E3D" w:rsidRPr="00C975FA" w:rsidRDefault="00A70E3D" w:rsidP="00A70E3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Отдельные особенности планирования бюджетных ассигнований местного бюджета на 20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22</w:t>
      </w:r>
      <w:r w:rsidRPr="00C975F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год.</w:t>
      </w:r>
    </w:p>
    <w:p w:rsidR="00A70E3D" w:rsidRPr="00C975FA" w:rsidRDefault="00A70E3D" w:rsidP="00A70E3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</w:t>
      </w:r>
    </w:p>
    <w:p w:rsidR="00A70E3D" w:rsidRPr="00C975FA" w:rsidRDefault="00A70E3D" w:rsidP="00A70E3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70E3D" w:rsidRPr="00C975FA" w:rsidRDefault="00A70E3D" w:rsidP="00A70E3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Расходы на содержание аппарата управления сформированы из норматива на содержание, который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1082,7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тыс. рублей. Затраты по ТЭРам, телефону просчитаны в полном объеме, исходя из прогнозной цены 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22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год. Расходы по заработной плате и начислений по оплате труда просчитаны на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7,92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месяцев</w:t>
      </w:r>
    </w:p>
    <w:p w:rsidR="00A70E3D" w:rsidRPr="00C975FA" w:rsidRDefault="00A70E3D" w:rsidP="00A70E3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A70E3D" w:rsidRPr="00C975FA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Фонд оплаты труда работников МКУК «Борковский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>ЦСДК» рассчитывается исходя из фактически утвержденной в дорожной карте средней заработной платы по экономике Курской области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22</w:t>
      </w: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34 990,00</w:t>
      </w: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размере 100 % и количества 2,5 штатные единицы. Начисления на заработную плату – в размере 30,2 % от ФОТ. 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Расходы просчитаны на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7,92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месяцев. Недостаток средств на исполнение годовых обязательств по выплате заработной платы работникам культуры исходя из утвержденной средней заработной платы по экономике Курской области составляет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500,8</w:t>
      </w:r>
      <w:r w:rsidRPr="00C975F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тысяч рублей.</w:t>
      </w:r>
    </w:p>
    <w:p w:rsidR="00A70E3D" w:rsidRPr="00C975FA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75F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Расходы на оплату налогов, коммунальных услуг, содержание и аренду помещений, услуг связи планируются исходя из ассигнований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На остальные материальные затраты средства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направляются исходя из утвержденных на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21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ассигнований.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0100 «Общегосударственные вопросы»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0102 «Функционирование высшего должностного лица органа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местного самоуправления»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По данному разделу планируются расходы на заработную плату Главы Борковского сельсовета по штатному расписанию, по начислениям на выплаты по оплате труда – в размере 30,2 %.</w:t>
      </w:r>
    </w:p>
    <w:p w:rsidR="00A70E3D" w:rsidRPr="00E85031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з/ плата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20468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,00 х </w:t>
      </w:r>
      <w:r w:rsidRPr="00E85031">
        <w:rPr>
          <w:rFonts w:ascii="Times New Roman CYR" w:hAnsi="Times New Roman CYR" w:cs="Times New Roman CYR"/>
          <w:color w:val="000000"/>
          <w:sz w:val="28"/>
          <w:szCs w:val="28"/>
        </w:rPr>
        <w:t>7,92=162 107,00</w:t>
      </w:r>
    </w:p>
    <w:p w:rsidR="00A70E3D" w:rsidRPr="00E85031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503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5031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начисл . на зар. плату 48 956,00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0104 «Функционирование местной администрации»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По данному подразделу планируются расходы   на заработную плату работников администрации по штатному расписанию утвержденного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год, по начислениям на выплаты по оплате труда – в размере 30,2 %.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525,9 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тыс. руб.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по расходам на оплату услуг связи, стоимости материальных запасов 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очие расходы предусмотрено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2,5 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тыс.руб. 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0106 «Обеспечение деятельности финансовых. налоговых и таможенных органов и органов финансового надзора(финансово-бюджетного) надзора»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По данному подразделу планируются расходы    на межбюджетные трансферты бюджет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«Суджанский район Курской области»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B61010">
        <w:rPr>
          <w:rFonts w:ascii="Times New Roman CYR" w:hAnsi="Times New Roman CYR" w:cs="Times New Roman CYR"/>
          <w:color w:val="000000"/>
          <w:sz w:val="28"/>
          <w:szCs w:val="28"/>
        </w:rPr>
        <w:t>81,6 тыс.руб.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0200 «Национальная оборона»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 0203«Мобилизационная и вневойсковая подготовка»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По данному подразделу предусмотрены   расходы на осуществление переданных полномочий РФ по первичному воинскому учёту на территориях, где отсутствуют военные комиссариаты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92,5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т.рублей,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95,5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т.рублей ,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в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98,9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т.рублей на заработную плату с начислениями.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0500 «Жилищно-коммунальное хозяйство»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0503 «Благоустройство»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По данному подразделу планируются расходы местного бюджета на финансирование Муниципальной целевой программы «"Обеспечение доступным и комфортным жильём и коммунальными услугами граждан в муниципальном образовании "Борковский сельсовет" Суджанского района Курской области"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год и на плановый период 2023 и 2024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 в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50 000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,00 рублей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Раздел 0800 «Культура, кинематография»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b/>
          <w:color w:val="000000"/>
          <w:sz w:val="28"/>
          <w:szCs w:val="28"/>
        </w:rPr>
        <w:t>Подраздел 0801 «Культура»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>По данному подразделу планируются расходы на финансирование муниципальной целевой программы «Муниципальная программа "Развитие культуры муниципального образования "Борковский сельсовет" Суджанского района Курской области" на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3 -2024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годов в сумме </w:t>
      </w:r>
      <w:r w:rsidRPr="00E85031">
        <w:rPr>
          <w:rFonts w:ascii="Times New Roman CYR" w:hAnsi="Times New Roman CYR" w:cs="Times New Roman CYR"/>
          <w:color w:val="000000"/>
          <w:sz w:val="28"/>
          <w:szCs w:val="28"/>
        </w:rPr>
        <w:t xml:space="preserve">2 016,3 тыс.руб., 618,8 тыс.руб.,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605,8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соответственно.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которой предусмотрено создание условий для организации досуга и обеспечение жителей услугами организаций культуры.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75494">
        <w:rPr>
          <w:rFonts w:ascii="Times New Roman CYR" w:hAnsi="Times New Roman CYR" w:cs="Times New Roman CYR"/>
          <w:color w:val="000000"/>
          <w:sz w:val="28"/>
          <w:szCs w:val="28"/>
        </w:rPr>
        <w:tab/>
        <w:t>Планирование бюджетных ассигнований на реализацию положений Указов Президента Российской Федерации от 28 декабря 2012 года №1688 и от 7 мая 2012 № 597 осуществляется в соответствии со средней заработной платой категорий работников, определённых в Указах Президента Российской Федерации к средней заработной плате в регионе.</w:t>
      </w:r>
    </w:p>
    <w:p w:rsidR="00A70E3D" w:rsidRPr="00975494" w:rsidRDefault="00A70E3D" w:rsidP="00A70E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70E3D" w:rsidRPr="00A06E2A" w:rsidRDefault="00A70E3D" w:rsidP="00A70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E3D" w:rsidRDefault="00A70E3D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Default="00E02E26" w:rsidP="0004171A">
      <w:pPr>
        <w:autoSpaceDN w:val="0"/>
        <w:rPr>
          <w:lang w:eastAsia="zh-CN"/>
        </w:rPr>
      </w:pPr>
    </w:p>
    <w:p w:rsidR="00E02E26" w:rsidRPr="00E02E26" w:rsidRDefault="00E02E26" w:rsidP="0004171A">
      <w:pPr>
        <w:autoSpaceDN w:val="0"/>
        <w:rPr>
          <w:sz w:val="28"/>
          <w:szCs w:val="28"/>
          <w:lang w:eastAsia="zh-CN"/>
        </w:rPr>
      </w:pP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Утверждена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Постановлением главы Борковского сельсовета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от 11.11.2021г. № 61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Методика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«Борковский сельсовет» на 2022 год и на плановый период 2023 и 2024 годов.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Доходная база бюджета МО «Борковский сельсовет» на 2022-2024 годы формируется исходя из действующего на момент составления бюджета налогового и бюджетного законодательства.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Налог на доходы физических лиц (код 1 01 02000 01 0000 110)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</w:r>
      <w:hyperlink r:id="rId7" w:history="1">
        <w:r w:rsidRPr="00E02E26">
          <w:rPr>
            <w:rStyle w:val="af2"/>
            <w:color w:val="3B8DBD"/>
            <w:sz w:val="28"/>
            <w:szCs w:val="28"/>
            <w:bdr w:val="none" w:sz="0" w:space="0" w:color="auto" w:frame="1"/>
          </w:rPr>
          <w:t>статьями 227</w:t>
        </w:r>
      </w:hyperlink>
      <w:r w:rsidRPr="00E02E26">
        <w:rPr>
          <w:color w:val="555555"/>
          <w:sz w:val="28"/>
          <w:szCs w:val="28"/>
        </w:rPr>
        <w:t>, </w:t>
      </w:r>
      <w:hyperlink r:id="rId8" w:history="1">
        <w:r w:rsidRPr="00E02E26">
          <w:rPr>
            <w:rStyle w:val="af2"/>
            <w:color w:val="3B8DBD"/>
            <w:sz w:val="28"/>
            <w:szCs w:val="28"/>
            <w:bdr w:val="none" w:sz="0" w:space="0" w:color="auto" w:frame="1"/>
          </w:rPr>
          <w:t>227.1</w:t>
        </w:r>
      </w:hyperlink>
      <w:r w:rsidRPr="00E02E26">
        <w:rPr>
          <w:color w:val="555555"/>
          <w:sz w:val="28"/>
          <w:szCs w:val="28"/>
        </w:rPr>
        <w:t> и </w:t>
      </w:r>
      <w:hyperlink r:id="rId9" w:history="1">
        <w:r w:rsidRPr="00E02E26">
          <w:rPr>
            <w:rStyle w:val="af2"/>
            <w:color w:val="3B8DBD"/>
            <w:sz w:val="28"/>
            <w:szCs w:val="28"/>
            <w:bdr w:val="none" w:sz="0" w:space="0" w:color="auto" w:frame="1"/>
          </w:rPr>
          <w:t>228</w:t>
        </w:r>
      </w:hyperlink>
      <w:r w:rsidRPr="00E02E26">
        <w:rPr>
          <w:color w:val="555555"/>
          <w:sz w:val="28"/>
          <w:szCs w:val="28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налога в 2021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2019, 2019 и 2020 годов в фактических годовых поступлениях.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2022 год, и ставки налога в размере 13%.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Прогнозируемая сумма поступления налога на 2023 - 2024 годы также рассчитывается по двум вариантам и принимается средний из них.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Первый вариант - сумма налога на 2023 - 2024 годы определяется исходя из прогнозируемого поступления налога в 2022 году по первому варианту, скорректированного на ежегодные темпы роста (снижения) фонда заработной платы на 2023 - 2024 годы.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Второй вариант - сумма налога на 2023 - 2024 годы определяется исходя из фонда заработной платы, планируемого комитетом по экономике и развитию Курской области на 2023 - 2024 годы, и ставки налога в размере 13%.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 исходя из ожидаемого поступления налога в 2020 году, скорректированного на ежегодные темпы роста (снижения) фонда заработной платы в 2021 - 2023 годах.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налога в 2021 году рассчитывается исходя из среднего фактического поступления сумм налога в 2019 и 2020 годах.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110), в 2022 - 2024 годах определяется на уровне ожидаемого поступления налога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налога в 2021 году определяется на уровне фактического поступления налога в 2020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Налог на имущество физических лиц</w:t>
      </w:r>
      <w:r w:rsidRPr="00E02E26">
        <w:rPr>
          <w:color w:val="555555"/>
          <w:sz w:val="28"/>
          <w:szCs w:val="28"/>
        </w:rPr>
        <w:t> (код 1 06 01000 00 0000 110)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Прогноз поступлений налога на 2022-2024 годы определяется на уровне ожидаемого поступления налога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налога в 2021 году определяется на уровне фактического поступления налога в 2020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Земельный налог </w:t>
      </w:r>
      <w:r w:rsidRPr="00E02E26">
        <w:rPr>
          <w:color w:val="555555"/>
          <w:sz w:val="28"/>
          <w:szCs w:val="28"/>
        </w:rPr>
        <w:t>(код 1 06 06000 00 0000 110)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Прогноз поступлений земельного налога на 2022 - 2024 годы определяется на уровне ожидаемого поступления налога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налога в 2021 году рассчитывается исходя из среднего значения фактических поступлений сумм налога в 2019 и 2020 годах.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E02E26">
        <w:rPr>
          <w:color w:val="555555"/>
          <w:sz w:val="28"/>
          <w:szCs w:val="28"/>
        </w:rPr>
        <w:t> (коды 1 11 05024 04 0000 120; 1 11 05025 05 0000 120; 1 11 05025 10 0000 120; 1 11 05025 13 0000 120)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Поступление арендной платы за земли на 2022 - 2024 годы прогнозируется на уровне ожидаемого поступления доходов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в 2021 году рассчитывается исходя из фактического поступления доходов в 2020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Поступление арендной платы на 2022 - 2024 годы прогнозируется на основании расчетных данных Администрацией Борковского сельсовета Суджанского района Курской области.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E02E26">
        <w:rPr>
          <w:color w:val="555555"/>
          <w:sz w:val="28"/>
          <w:szCs w:val="28"/>
        </w:rPr>
        <w:t> (код 1 11 05030 00 0000 120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Поступление доходов в местные бюджеты в 2021 - 2023 годах (коды 1 11 05034 04 0000 120, 1 11 05035 05 0000 120, 1 11 05035 10 0000 120, 1 11 05035 13 0000 120) прогнозируется на уровне ожидаемого поступления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в 2021 году рассчитывается исходя из фактического поступления доходов в 2020 году с учетом фактических поступлений в 1-м полугодии 2021 года. В случае превышения фактических поступлений 1-го полугодия 2021 года над фактическими поступлениями доходов в 2020 году в расчет принимается фактическое поступление доходов в первом полугодии 2021 года.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rStyle w:val="af4"/>
          <w:color w:val="555555"/>
          <w:sz w:val="28"/>
          <w:szCs w:val="28"/>
          <w:bdr w:val="none" w:sz="0" w:space="0" w:color="auto" w:frame="1"/>
        </w:rPr>
        <w:t>Прочие неналоговые доходы</w:t>
      </w:r>
      <w:r w:rsidRPr="00E02E26">
        <w:rPr>
          <w:color w:val="555555"/>
          <w:sz w:val="28"/>
          <w:szCs w:val="28"/>
        </w:rPr>
        <w:t>(код 1 17 05000 00 0000 180)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Поступление прочих неналоговых доходов в областной бюджет в 2022 - 2024 годах планируется на основании расчётных данных главных администраторов доходов областного бюджета.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Поступление прочих неналоговых доходов в местные бюджеты на 2022 - 2024 годы прогнозируется на уровне ожидаемого поступления доходов в 2021 году.</w:t>
      </w:r>
    </w:p>
    <w:p w:rsidR="00E02E26" w:rsidRPr="00E02E26" w:rsidRDefault="00E02E26" w:rsidP="00E02E26">
      <w:pPr>
        <w:pStyle w:val="af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8"/>
          <w:szCs w:val="28"/>
        </w:rPr>
      </w:pPr>
      <w:r w:rsidRPr="00E02E26">
        <w:rPr>
          <w:color w:val="555555"/>
          <w:sz w:val="28"/>
          <w:szCs w:val="28"/>
        </w:rPr>
        <w:t>Ожидаемое поступление в 2021 году рассчитывается исходя из среднего значения фактических поступлений прочих неналоговых доходов в 2019 и 2020 годах.</w:t>
      </w:r>
    </w:p>
    <w:p w:rsidR="00E02E26" w:rsidRPr="00E02E26" w:rsidRDefault="00E02E26" w:rsidP="0004171A">
      <w:pPr>
        <w:autoSpaceDN w:val="0"/>
        <w:rPr>
          <w:sz w:val="28"/>
          <w:szCs w:val="28"/>
          <w:lang w:eastAsia="zh-CN"/>
        </w:rPr>
      </w:pPr>
    </w:p>
    <w:sectPr w:rsidR="00E02E26" w:rsidRPr="00E02E26" w:rsidSect="009E7174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43F" w:rsidRDefault="00AB443F" w:rsidP="005531EE">
      <w:r>
        <w:separator/>
      </w:r>
    </w:p>
  </w:endnote>
  <w:endnote w:type="continuationSeparator" w:id="1">
    <w:p w:rsidR="00AB443F" w:rsidRDefault="00AB443F" w:rsidP="0055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43F" w:rsidRDefault="00AB443F" w:rsidP="005531EE">
      <w:r>
        <w:separator/>
      </w:r>
    </w:p>
  </w:footnote>
  <w:footnote w:type="continuationSeparator" w:id="1">
    <w:p w:rsidR="00AB443F" w:rsidRDefault="00AB443F" w:rsidP="0055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C" w:rsidRDefault="00BB3BFC">
    <w:pPr>
      <w:pStyle w:val="ac"/>
      <w:jc w:val="center"/>
    </w:pPr>
  </w:p>
  <w:p w:rsidR="00BB3BFC" w:rsidRDefault="00BB3BF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C" w:rsidRDefault="00BB3BFC">
    <w:pPr>
      <w:pStyle w:val="ac"/>
      <w:jc w:val="center"/>
    </w:pPr>
  </w:p>
  <w:p w:rsidR="00BB3BFC" w:rsidRDefault="00BB3BF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18F"/>
    <w:multiLevelType w:val="hybridMultilevel"/>
    <w:tmpl w:val="99DE612A"/>
    <w:lvl w:ilvl="0" w:tplc="550E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C4F415D"/>
    <w:multiLevelType w:val="hybridMultilevel"/>
    <w:tmpl w:val="A0BCF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2F7B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C6E2A"/>
    <w:multiLevelType w:val="hybridMultilevel"/>
    <w:tmpl w:val="8858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8439D"/>
    <w:multiLevelType w:val="hybridMultilevel"/>
    <w:tmpl w:val="4C269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2474B"/>
    <w:multiLevelType w:val="hybridMultilevel"/>
    <w:tmpl w:val="22E2B966"/>
    <w:lvl w:ilvl="0" w:tplc="07AEE3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379EE"/>
    <w:multiLevelType w:val="hybridMultilevel"/>
    <w:tmpl w:val="B02AA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F6F15"/>
    <w:multiLevelType w:val="multilevel"/>
    <w:tmpl w:val="6B6A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0D46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5ACF"/>
    <w:rsid w:val="00005149"/>
    <w:rsid w:val="00024CC0"/>
    <w:rsid w:val="00034370"/>
    <w:rsid w:val="0004171A"/>
    <w:rsid w:val="000464D7"/>
    <w:rsid w:val="00073318"/>
    <w:rsid w:val="00073BDB"/>
    <w:rsid w:val="000D3679"/>
    <w:rsid w:val="000E194F"/>
    <w:rsid w:val="000F65FA"/>
    <w:rsid w:val="00133972"/>
    <w:rsid w:val="001522F0"/>
    <w:rsid w:val="00176A56"/>
    <w:rsid w:val="001955BF"/>
    <w:rsid w:val="001B3672"/>
    <w:rsid w:val="001C13EB"/>
    <w:rsid w:val="001E128A"/>
    <w:rsid w:val="001E776D"/>
    <w:rsid w:val="002905E1"/>
    <w:rsid w:val="002C30F1"/>
    <w:rsid w:val="002D3942"/>
    <w:rsid w:val="0037192B"/>
    <w:rsid w:val="00377F78"/>
    <w:rsid w:val="003A078D"/>
    <w:rsid w:val="003A317C"/>
    <w:rsid w:val="003B2110"/>
    <w:rsid w:val="003D0A0B"/>
    <w:rsid w:val="00432405"/>
    <w:rsid w:val="0043592C"/>
    <w:rsid w:val="004778A6"/>
    <w:rsid w:val="004834CA"/>
    <w:rsid w:val="004C6423"/>
    <w:rsid w:val="005531EE"/>
    <w:rsid w:val="005832B4"/>
    <w:rsid w:val="005C7A57"/>
    <w:rsid w:val="005D55D3"/>
    <w:rsid w:val="005F2E11"/>
    <w:rsid w:val="005F5E5D"/>
    <w:rsid w:val="006B37C3"/>
    <w:rsid w:val="00700A0A"/>
    <w:rsid w:val="00706A02"/>
    <w:rsid w:val="0071153D"/>
    <w:rsid w:val="00736C76"/>
    <w:rsid w:val="007A3F83"/>
    <w:rsid w:val="008329FF"/>
    <w:rsid w:val="00853B6F"/>
    <w:rsid w:val="008641E4"/>
    <w:rsid w:val="00866AFB"/>
    <w:rsid w:val="008E147F"/>
    <w:rsid w:val="00941EB0"/>
    <w:rsid w:val="00957A6E"/>
    <w:rsid w:val="009E7174"/>
    <w:rsid w:val="009F4261"/>
    <w:rsid w:val="00A05EE5"/>
    <w:rsid w:val="00A67EF2"/>
    <w:rsid w:val="00A70E3D"/>
    <w:rsid w:val="00AA2F1E"/>
    <w:rsid w:val="00AB443F"/>
    <w:rsid w:val="00AC6ECF"/>
    <w:rsid w:val="00AD79FA"/>
    <w:rsid w:val="00AF77A7"/>
    <w:rsid w:val="00B025CD"/>
    <w:rsid w:val="00B412D0"/>
    <w:rsid w:val="00B6012F"/>
    <w:rsid w:val="00B70367"/>
    <w:rsid w:val="00BB3BFC"/>
    <w:rsid w:val="00BF477A"/>
    <w:rsid w:val="00C447EF"/>
    <w:rsid w:val="00C457F4"/>
    <w:rsid w:val="00CB0165"/>
    <w:rsid w:val="00CB345B"/>
    <w:rsid w:val="00CF14AF"/>
    <w:rsid w:val="00CF35AA"/>
    <w:rsid w:val="00D14162"/>
    <w:rsid w:val="00D82E39"/>
    <w:rsid w:val="00DD202A"/>
    <w:rsid w:val="00DE5ACF"/>
    <w:rsid w:val="00E02E26"/>
    <w:rsid w:val="00E100E7"/>
    <w:rsid w:val="00E259D7"/>
    <w:rsid w:val="00E5557E"/>
    <w:rsid w:val="00E94C8D"/>
    <w:rsid w:val="00ED1607"/>
    <w:rsid w:val="00EE1F2F"/>
    <w:rsid w:val="00EE2E8B"/>
    <w:rsid w:val="00F44099"/>
    <w:rsid w:val="00FA22A8"/>
    <w:rsid w:val="00FA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49"/>
  </w:style>
  <w:style w:type="paragraph" w:customStyle="1" w:styleId="ConsPlusNonformat">
    <w:name w:val="ConsPlusNonformat"/>
    <w:rsid w:val="00005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locked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3"/>
    <w:uiPriority w:val="34"/>
    <w:qFormat/>
    <w:rsid w:val="00005149"/>
    <w:pPr>
      <w:widowControl/>
      <w:snapToGri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149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4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14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149"/>
    <w:pPr>
      <w:widowControl/>
      <w:snapToGrid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00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14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1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5149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0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0051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005149"/>
  </w:style>
  <w:style w:type="character" w:styleId="af2">
    <w:name w:val="Hyperlink"/>
    <w:basedOn w:val="a0"/>
    <w:rsid w:val="009E7174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E02E26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E02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Lenovo</cp:lastModifiedBy>
  <cp:revision>3</cp:revision>
  <cp:lastPrinted>2021-11-19T08:27:00Z</cp:lastPrinted>
  <dcterms:created xsi:type="dcterms:W3CDTF">2022-02-28T12:20:00Z</dcterms:created>
  <dcterms:modified xsi:type="dcterms:W3CDTF">2022-02-28T12:25:00Z</dcterms:modified>
</cp:coreProperties>
</file>