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Default="008D0207">
      <w:r w:rsidRPr="008D0207">
        <w:t>Структура: Органами местного самоуправления  Борковского сельсовета являются: 1. представительный орган муниципального образования – Собрание депутатов Борковского сельсовета Суджанского района (далее Собрание депутатов, Собрание депутатов Борковского сельсовета); 2. глава муниципального образования – глава Борковского сельсовета Суджанского района; 3. местная администрация (исполнительно-распорядительный орган муниципального образования) – администрация Борковского сельсовета Суджанского района; 4. контрольный орган муниципального образования – ревизионная комиссия Борковского сельсовета Суджанского  района.</w:t>
      </w:r>
    </w:p>
    <w:sectPr w:rsidR="00D54D5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D0207"/>
    <w:rsid w:val="0020758A"/>
    <w:rsid w:val="003617E1"/>
    <w:rsid w:val="007876AE"/>
    <w:rsid w:val="008D0207"/>
    <w:rsid w:val="00967E7E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SPecialiST RePack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2023-12-29T08:07:00Z</dcterms:created>
  <dcterms:modified xsi:type="dcterms:W3CDTF">2023-12-29T08:08:00Z</dcterms:modified>
</cp:coreProperties>
</file>